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657CC" w:rsidRDefault="00000000">
      <w:pPr>
        <w:rPr>
          <w:rFonts w:ascii="Times New Roman" w:eastAsia="Times New Roman" w:hAnsi="Times New Roman" w:cs="Times New Roman"/>
          <w:b/>
          <w:bCs/>
        </w:rPr>
      </w:pPr>
      <w:r>
        <w:rPr>
          <w:rFonts w:ascii="Times New Roman" w:eastAsia="Times New Roman" w:hAnsi="Times New Roman" w:cs="Times New Roman"/>
          <w:b/>
          <w:bCs/>
        </w:rPr>
        <w:t>A Unified Physiologically Based Kinetic Framework for Per- and Polyfluoroalkyl Substances (PFAS): In Vitro Parameterization, Calibration, and Risk Assessment</w:t>
      </w:r>
    </w:p>
    <w:p w14:paraId="00000002" w14:textId="77777777" w:rsidR="00E657CC" w:rsidRDefault="00000000">
      <w:pPr>
        <w:rPr>
          <w:rFonts w:ascii="Times New Roman" w:eastAsia="Times New Roman" w:hAnsi="Times New Roman" w:cs="Times New Roman"/>
        </w:rPr>
      </w:pPr>
      <w:r>
        <w:rPr>
          <w:rFonts w:ascii="Times New Roman" w:eastAsia="Times New Roman" w:hAnsi="Times New Roman" w:cs="Times New Roman"/>
        </w:rPr>
        <w:t>Fotios Spyropoulos, Periklis Tsiros, Elisa Thépaut, Vasileios Minadakis, Haralambos Sarimveis</w:t>
      </w:r>
    </w:p>
    <w:p w14:paraId="00000003" w14:textId="77777777" w:rsidR="00E657CC" w:rsidRDefault="00000000">
      <w:r>
        <w:rPr>
          <w:rFonts w:ascii="Times New Roman" w:eastAsia="Times New Roman" w:hAnsi="Times New Roman" w:cs="Times New Roman"/>
        </w:rPr>
        <w:t>National Technical University of Athens, School of Chemical Engineering, 9 Iroon Polytechneiou, Zografou 15772, Greece</w:t>
      </w:r>
    </w:p>
    <w:p w14:paraId="00000004" w14:textId="77777777" w:rsidR="00E657CC" w:rsidRDefault="00000000">
      <w:pPr>
        <w:rPr>
          <w:rFonts w:ascii="Times New Roman" w:eastAsia="Times New Roman" w:hAnsi="Times New Roman" w:cs="Times New Roman"/>
          <w:b/>
          <w:bCs/>
        </w:rPr>
      </w:pPr>
      <w:r>
        <w:rPr>
          <w:rFonts w:ascii="Times New Roman" w:eastAsia="Times New Roman" w:hAnsi="Times New Roman" w:cs="Times New Roman"/>
          <w:b/>
          <w:bCs/>
        </w:rPr>
        <w:t>Abstract</w:t>
      </w:r>
    </w:p>
    <w:p w14:paraId="00000005" w14:textId="77777777" w:rsidR="00E657CC"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Per- and polyfluoroalkyl substances (PFAS) are persistent synthetic chemicals with widespread human exposure, linked to various adverse health outcomes including immunotoxicity, endocrine disruption, and increased cancer risk. While physiologically based kinetic (PBK) models exist for PFOA and PFOS, the broader PFAS chemical space remains poorly characterized. This study extends the human PFOA PBK model developed by Worley et al. (2017) for PFOA to a unified framework extrapolated to 11 PFAS congeners: PFBA, PFHxA, PFHpA, PFOA, PFNA, PFDA, PFBS, PFHxS, PFOS, HFPO-DA, and DONA.</w:t>
      </w:r>
    </w:p>
    <w:p w14:paraId="00000006" w14:textId="7CB1CF21" w:rsidR="00E657CC"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The model comprises 14 tissue compartments and describes key toxicokinetic processes using pseudo-</w:t>
      </w:r>
      <w:proofErr w:type="gramStart"/>
      <w:r>
        <w:rPr>
          <w:rFonts w:ascii="Times New Roman" w:eastAsia="Times New Roman" w:hAnsi="Times New Roman" w:cs="Times New Roman"/>
        </w:rPr>
        <w:t>first-order</w:t>
      </w:r>
      <w:proofErr w:type="gramEnd"/>
      <w:r>
        <w:rPr>
          <w:rFonts w:ascii="Times New Roman" w:eastAsia="Times New Roman" w:hAnsi="Times New Roman" w:cs="Times New Roman"/>
        </w:rPr>
        <w:t xml:space="preserve"> and Michaelis–Menten kinetics under a perfusion-limited approach to minimize parameterization. Tissue distribution is governed by compound-specific partition coefficients and free fractions derived from </w:t>
      </w:r>
      <w:r w:rsidRPr="00722B9E">
        <w:rPr>
          <w:rFonts w:ascii="Times New Roman" w:eastAsia="Times New Roman" w:hAnsi="Times New Roman" w:cs="Times New Roman"/>
          <w:i/>
          <w:iCs/>
        </w:rPr>
        <w:t>in vitro</w:t>
      </w:r>
      <w:r>
        <w:rPr>
          <w:rFonts w:ascii="Times New Roman" w:eastAsia="Times New Roman" w:hAnsi="Times New Roman" w:cs="Times New Roman"/>
        </w:rPr>
        <w:t xml:space="preserve"> assays. Renal handling is modeled in proximal tubule cells via apical and basolateral transporters, with </w:t>
      </w:r>
      <w:r w:rsidRPr="00722B9E">
        <w:rPr>
          <w:rFonts w:ascii="Times New Roman" w:eastAsia="Times New Roman" w:hAnsi="Times New Roman" w:cs="Times New Roman"/>
          <w:i/>
          <w:iCs/>
        </w:rPr>
        <w:t>in vitro</w:t>
      </w:r>
      <w:r>
        <w:rPr>
          <w:rFonts w:ascii="Times New Roman" w:eastAsia="Times New Roman" w:hAnsi="Times New Roman" w:cs="Times New Roman"/>
        </w:rPr>
        <w:t xml:space="preserve"> kinetics scaled to </w:t>
      </w:r>
      <w:r w:rsidRPr="00722B9E">
        <w:rPr>
          <w:rFonts w:ascii="Times New Roman" w:eastAsia="Times New Roman" w:hAnsi="Times New Roman" w:cs="Times New Roman"/>
          <w:i/>
          <w:iCs/>
        </w:rPr>
        <w:t>in vivo</w:t>
      </w:r>
      <w:r>
        <w:rPr>
          <w:rFonts w:ascii="Times New Roman" w:eastAsia="Times New Roman" w:hAnsi="Times New Roman" w:cs="Times New Roman"/>
        </w:rPr>
        <w:t xml:space="preserve"> using a relative activity factor (RAF). Where data </w:t>
      </w:r>
      <w:proofErr w:type="gramStart"/>
      <w:r>
        <w:rPr>
          <w:rFonts w:ascii="Times New Roman" w:eastAsia="Times New Roman" w:hAnsi="Times New Roman" w:cs="Times New Roman"/>
        </w:rPr>
        <w:t>were</w:t>
      </w:r>
      <w:proofErr w:type="gramEnd"/>
      <w:r>
        <w:rPr>
          <w:rFonts w:ascii="Times New Roman" w:eastAsia="Times New Roman" w:hAnsi="Times New Roman" w:cs="Times New Roman"/>
        </w:rPr>
        <w:t xml:space="preserve"> unavailable, PFOA parameters served as placeholders. Reabsorption into systemic circulation is described by a first-order efflux rate constant (k_efflux), and plasma serves as a hematocrit-scaled surrogate for systemic blood. Since PFAS are not metabolized, hepatic elimination occurs via biliary excretion, simplified to a first-order rate constant (k_bile) directing compounds from liver to feces, while enterohepatic recirculation partially accounts for trace fecal PFAS levels.</w:t>
      </w:r>
    </w:p>
    <w:p w14:paraId="00000007" w14:textId="20BC8E75" w:rsidR="00E657CC"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The parameters k_bile, k_efflux, and RAF were calibrated against single-dose human biomonitoring data. Model performance was assessed using the absolute average fold error (AAFE), yielding consistently good calibration across all congeners (AAFE: 1.08–1.80). Sensitivity analyses </w:t>
      </w:r>
      <w:proofErr w:type="gramStart"/>
      <w:r>
        <w:rPr>
          <w:rFonts w:ascii="Times New Roman" w:eastAsia="Times New Roman" w:hAnsi="Times New Roman" w:cs="Times New Roman"/>
        </w:rPr>
        <w:t>identified</w:t>
      </w:r>
      <w:proofErr w:type="gramEnd"/>
      <w:r>
        <w:rPr>
          <w:rFonts w:ascii="Times New Roman" w:eastAsia="Times New Roman" w:hAnsi="Times New Roman" w:cs="Times New Roman"/>
        </w:rPr>
        <w:t xml:space="preserve"> RAF_apical, k_efflux, k_bile, muscle, adipose and liver PCs as the most influential parameters.</w:t>
      </w:r>
    </w:p>
    <w:p w14:paraId="00000008" w14:textId="3535DEF3" w:rsidR="00E657CC"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As a practical application, a reverse-to-forward dosimetry workflow estimated exposures from biomonitoring data and predicted tissue burdens. This illustrates the model's utility for risk assessment, enabling derivation of safe exposure levels from </w:t>
      </w:r>
      <w:r w:rsidRPr="00722B9E">
        <w:rPr>
          <w:rFonts w:ascii="Times New Roman" w:eastAsia="Times New Roman" w:hAnsi="Times New Roman" w:cs="Times New Roman"/>
          <w:i/>
          <w:iCs/>
        </w:rPr>
        <w:t>in vitro</w:t>
      </w:r>
      <w:r>
        <w:rPr>
          <w:rFonts w:ascii="Times New Roman" w:eastAsia="Times New Roman" w:hAnsi="Times New Roman" w:cs="Times New Roman"/>
        </w:rPr>
        <w:t xml:space="preserve"> points of departure. The modular architecture further supports extrapolation to emerging PFAS congeners.</w:t>
      </w:r>
    </w:p>
    <w:p w14:paraId="00000009" w14:textId="77777777" w:rsidR="00E657CC" w:rsidRDefault="00000000">
      <w:pPr>
        <w:jc w:val="both"/>
        <w:rPr>
          <w:rFonts w:ascii="Times New Roman" w:eastAsia="Times New Roman" w:hAnsi="Times New Roman" w:cs="Times New Roman"/>
          <w:b/>
          <w:bCs/>
        </w:rPr>
      </w:pPr>
      <w:r>
        <w:rPr>
          <w:rFonts w:ascii="Times New Roman" w:eastAsia="Times New Roman" w:hAnsi="Times New Roman" w:cs="Times New Roman"/>
          <w:b/>
          <w:bCs/>
        </w:rPr>
        <w:t>References:</w:t>
      </w:r>
    </w:p>
    <w:p w14:paraId="0000000A" w14:textId="77777777" w:rsidR="00E657CC" w:rsidRDefault="00000000">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Worley, R.R., Yang, X., &amp; Fisher, J. (2017). Physiologically based pharmacokinetic modeling of human exposure to perfluorooctanoic acid suggests historical </w:t>
      </w:r>
      <w:proofErr w:type="gramStart"/>
      <w:r>
        <w:rPr>
          <w:rFonts w:ascii="Times New Roman" w:eastAsia="Times New Roman" w:hAnsi="Times New Roman" w:cs="Times New Roman"/>
        </w:rPr>
        <w:t>non drinking</w:t>
      </w:r>
      <w:proofErr w:type="gramEnd"/>
      <w:r>
        <w:rPr>
          <w:rFonts w:ascii="Times New Roman" w:eastAsia="Times New Roman" w:hAnsi="Times New Roman" w:cs="Times New Roman"/>
        </w:rPr>
        <w:t xml:space="preserve">-water exposures are important for predicting current serum concentrations. </w:t>
      </w:r>
      <w:r>
        <w:rPr>
          <w:rFonts w:ascii="Times New Roman" w:eastAsia="Times New Roman" w:hAnsi="Times New Roman" w:cs="Times New Roman"/>
          <w:i/>
          <w:iCs/>
        </w:rPr>
        <w:t>Toxicology and Applied Pharmacology</w:t>
      </w:r>
      <w:r>
        <w:rPr>
          <w:rFonts w:ascii="Times New Roman" w:eastAsia="Times New Roman" w:hAnsi="Times New Roman" w:cs="Times New Roman"/>
        </w:rPr>
        <w:t>, 330, 33–44. PMID: 28684146. DOI: 10.1016/j.taap.2017.07.001</w:t>
      </w:r>
    </w:p>
    <w:p w14:paraId="0000000B" w14:textId="77777777" w:rsidR="00E657CC" w:rsidRDefault="00E657CC">
      <w:pPr>
        <w:jc w:val="both"/>
        <w:rPr>
          <w:rFonts w:ascii="Times New Roman" w:eastAsia="Times New Roman" w:hAnsi="Times New Roman" w:cs="Times New Roman"/>
        </w:rPr>
      </w:pPr>
    </w:p>
    <w:p w14:paraId="0000000C" w14:textId="77777777" w:rsidR="00E657CC"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Acknowledgment </w:t>
      </w:r>
    </w:p>
    <w:p w14:paraId="0000000D" w14:textId="77777777" w:rsidR="00E657CC" w:rsidRDefault="00000000">
      <w:pPr>
        <w:jc w:val="both"/>
        <w:rPr>
          <w:rFonts w:ascii="Times New Roman" w:eastAsia="Times New Roman" w:hAnsi="Times New Roman" w:cs="Times New Roman"/>
        </w:rPr>
      </w:pPr>
      <w:r>
        <w:rPr>
          <w:rFonts w:ascii="Times New Roman" w:eastAsia="Times New Roman" w:hAnsi="Times New Roman" w:cs="Times New Roman"/>
        </w:rPr>
        <w:t>This work has received funding from the European Union’s Horizon Europe Research and Innovation Programme through the CHIASMA project (grant agreement No. 101137613).</w:t>
      </w:r>
    </w:p>
    <w:sectPr w:rsidR="00E657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2CD026E-3A1E-414E-BADD-870208A53997}"/>
    <w:embedItalic r:id="rId2" w:fontKey="{A38AAFD6-123D-4B62-BE1A-57CF15257B43}"/>
  </w:font>
  <w:font w:name="Play">
    <w:charset w:val="00"/>
    <w:family w:val="auto"/>
    <w:pitch w:val="default"/>
    <w:embedRegular r:id="rId3" w:fontKey="{F19A05CC-5263-482B-8A9E-87625E6A33F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668E7D8D-66DA-4DB3-8535-EB5B8B1AC1B8}"/>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7CC"/>
    <w:rsid w:val="0018552C"/>
    <w:rsid w:val="00722B9E"/>
    <w:rsid w:val="00AC4E7C"/>
    <w:rsid w:val="00E657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CD212"/>
  <w15:docId w15:val="{87181A06-24FA-4DBD-8EA3-9B24AE027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he-I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8259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9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9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8259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9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9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9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9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9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9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9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9B1"/>
    <w:rPr>
      <w:rFonts w:eastAsiaTheme="majorEastAsia" w:cstheme="majorBidi"/>
      <w:color w:val="272727" w:themeColor="text1" w:themeTint="D8"/>
    </w:rPr>
  </w:style>
  <w:style w:type="character" w:customStyle="1" w:styleId="TitleChar">
    <w:name w:val="Title Char"/>
    <w:basedOn w:val="DefaultParagraphFont"/>
    <w:link w:val="Title"/>
    <w:uiPriority w:val="10"/>
    <w:rsid w:val="008259B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8259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9B1"/>
    <w:pPr>
      <w:spacing w:before="160"/>
      <w:jc w:val="center"/>
    </w:pPr>
    <w:rPr>
      <w:i/>
      <w:iCs/>
      <w:color w:val="404040" w:themeColor="text1" w:themeTint="BF"/>
    </w:rPr>
  </w:style>
  <w:style w:type="character" w:customStyle="1" w:styleId="QuoteChar">
    <w:name w:val="Quote Char"/>
    <w:basedOn w:val="DefaultParagraphFont"/>
    <w:link w:val="Quote"/>
    <w:uiPriority w:val="29"/>
    <w:rsid w:val="008259B1"/>
    <w:rPr>
      <w:i/>
      <w:iCs/>
      <w:color w:val="404040" w:themeColor="text1" w:themeTint="BF"/>
    </w:rPr>
  </w:style>
  <w:style w:type="paragraph" w:styleId="ListParagraph">
    <w:name w:val="List Paragraph"/>
    <w:basedOn w:val="Normal"/>
    <w:uiPriority w:val="34"/>
    <w:qFormat/>
    <w:rsid w:val="008259B1"/>
    <w:pPr>
      <w:ind w:left="720"/>
      <w:contextualSpacing/>
    </w:pPr>
  </w:style>
  <w:style w:type="character" w:styleId="IntenseEmphasis">
    <w:name w:val="Intense Emphasis"/>
    <w:basedOn w:val="DefaultParagraphFont"/>
    <w:uiPriority w:val="21"/>
    <w:qFormat/>
    <w:rsid w:val="008259B1"/>
    <w:rPr>
      <w:i/>
      <w:iCs/>
      <w:color w:val="0F4761" w:themeColor="accent1" w:themeShade="BF"/>
    </w:rPr>
  </w:style>
  <w:style w:type="paragraph" w:styleId="IntenseQuote">
    <w:name w:val="Intense Quote"/>
    <w:basedOn w:val="Normal"/>
    <w:next w:val="Normal"/>
    <w:link w:val="IntenseQuoteChar"/>
    <w:uiPriority w:val="30"/>
    <w:qFormat/>
    <w:rsid w:val="008259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9B1"/>
    <w:rPr>
      <w:i/>
      <w:iCs/>
      <w:color w:val="0F4761" w:themeColor="accent1" w:themeShade="BF"/>
    </w:rPr>
  </w:style>
  <w:style w:type="character" w:styleId="IntenseReference">
    <w:name w:val="Intense Reference"/>
    <w:basedOn w:val="DefaultParagraphFont"/>
    <w:uiPriority w:val="32"/>
    <w:qFormat/>
    <w:rsid w:val="008259B1"/>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UB+dlLTFDgj9MenozMeWSQ6GvA==">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459</Words>
  <Characters>2793</Characters>
  <Application>Microsoft Office Word</Application>
  <DocSecurity>0</DocSecurity>
  <Lines>38</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Φώτης Σπυρόπουλος</dc:creator>
  <cp:lastModifiedBy>Χαράλαμπος Σαρίμβεης</cp:lastModifiedBy>
  <cp:revision>3</cp:revision>
  <dcterms:created xsi:type="dcterms:W3CDTF">2026-03-26T10:05:00Z</dcterms:created>
  <dcterms:modified xsi:type="dcterms:W3CDTF">2026-03-27T22:37:00Z</dcterms:modified>
</cp:coreProperties>
</file>