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06A8" w14:textId="57574C6C" w:rsidR="00BF39AD" w:rsidRDefault="00D51042" w:rsidP="008E6FD6">
      <w:pPr>
        <w:rPr>
          <w:b/>
          <w:bCs/>
          <w:lang w:val="en-US"/>
        </w:rPr>
      </w:pPr>
      <w:r w:rsidRPr="00D51042">
        <w:rPr>
          <w:b/>
          <w:bCs/>
          <w:lang w:val="en-US"/>
        </w:rPr>
        <w:t>PFAS Disrupt ATP</w:t>
      </w:r>
      <w:r w:rsidRPr="00D51042">
        <w:rPr>
          <w:b/>
          <w:bCs/>
          <w:lang w:val="en-US"/>
        </w:rPr>
        <w:noBreakHyphen/>
        <w:t>Dependent Efflux Transporter Activity in Human Placental Barrier Models</w:t>
      </w:r>
    </w:p>
    <w:p w14:paraId="1910A9BF" w14:textId="77777777" w:rsidR="00B46A5E" w:rsidRDefault="00B46A5E" w:rsidP="00B46A5E">
      <w:pPr>
        <w:jc w:val="center"/>
        <w:rPr>
          <w:b/>
          <w:bCs/>
          <w:lang w:val="en-US"/>
        </w:rPr>
      </w:pPr>
    </w:p>
    <w:p w14:paraId="1465213C" w14:textId="3327D22E" w:rsidR="00B46A5E" w:rsidRDefault="00B46A5E" w:rsidP="00B46A5E">
      <w:pPr>
        <w:rPr>
          <w:lang w:val="en-US"/>
        </w:rPr>
      </w:pPr>
      <w:r w:rsidRPr="00B46A5E">
        <w:rPr>
          <w:lang w:val="en-US"/>
        </w:rPr>
        <w:t>Beatrice A. Brugger, Caroline Buff, Peter Wick, Tina Buerki</w:t>
      </w:r>
      <w:r w:rsidR="00976252">
        <w:rPr>
          <w:lang w:val="en-US"/>
        </w:rPr>
        <w:t>-</w:t>
      </w:r>
      <w:proofErr w:type="spellStart"/>
      <w:r w:rsidRPr="00B46A5E">
        <w:rPr>
          <w:lang w:val="en-US"/>
        </w:rPr>
        <w:t>Thurnherr</w:t>
      </w:r>
      <w:proofErr w:type="spellEnd"/>
    </w:p>
    <w:p w14:paraId="74D9CFCA" w14:textId="77777777" w:rsidR="00976252" w:rsidRDefault="00976252" w:rsidP="00B46A5E">
      <w:pPr>
        <w:rPr>
          <w:lang w:val="en-US"/>
        </w:rPr>
      </w:pPr>
    </w:p>
    <w:p w14:paraId="1496C721" w14:textId="0E24F767" w:rsidR="00976252" w:rsidRDefault="00976252" w:rsidP="00976252">
      <w:pPr>
        <w:spacing w:after="0" w:line="240" w:lineRule="auto"/>
        <w:rPr>
          <w:rStyle w:val="italic"/>
          <w:lang w:val="en-US"/>
        </w:rPr>
      </w:pPr>
      <w:r>
        <w:rPr>
          <w:rStyle w:val="italic"/>
          <w:lang w:val="en-US"/>
        </w:rPr>
        <w:t>Nanomaterials in Health Lab</w:t>
      </w:r>
      <w:r w:rsidRPr="00176542">
        <w:rPr>
          <w:rStyle w:val="italic"/>
          <w:lang w:val="en-US"/>
        </w:rPr>
        <w:t>, Swiss Federal Laboratories for Materials</w:t>
      </w:r>
      <w:r>
        <w:rPr>
          <w:rStyle w:val="italic"/>
          <w:lang w:val="en-US"/>
        </w:rPr>
        <w:t xml:space="preserve"> Science and Technology (Empa), Switzerland</w:t>
      </w:r>
    </w:p>
    <w:p w14:paraId="604C8E24" w14:textId="77777777" w:rsidR="00976252" w:rsidRPr="00B46A5E" w:rsidRDefault="00976252" w:rsidP="00B46A5E">
      <w:pPr>
        <w:rPr>
          <w:lang w:val="en-US"/>
        </w:rPr>
      </w:pPr>
    </w:p>
    <w:p w14:paraId="00CF8EB5" w14:textId="77777777" w:rsidR="001D12E6" w:rsidRDefault="001D12E6" w:rsidP="00B46A5E">
      <w:pPr>
        <w:rPr>
          <w:lang w:val="en-US"/>
        </w:rPr>
      </w:pPr>
      <w:r>
        <w:rPr>
          <w:lang w:val="en-US"/>
        </w:rPr>
        <w:t xml:space="preserve">Introduction: </w:t>
      </w:r>
    </w:p>
    <w:p w14:paraId="11376193" w14:textId="5E65C1FA" w:rsidR="00B46A5E" w:rsidRDefault="00B46A5E" w:rsidP="00B46A5E">
      <w:pPr>
        <w:rPr>
          <w:lang w:val="en-US"/>
        </w:rPr>
      </w:pPr>
      <w:r w:rsidRPr="00B46A5E">
        <w:rPr>
          <w:lang w:val="en-US"/>
        </w:rPr>
        <w:t xml:space="preserve">Per- and polyfluoroalkyl substances (PFAS) are persistent environmental contaminants associated with adverse pregnancy outcomes. However, their effects on placental barrier function remain poorly understood. This study aimed to investigate whether PFAS </w:t>
      </w:r>
      <w:r w:rsidR="00DA5E9F">
        <w:rPr>
          <w:lang w:val="en-US"/>
        </w:rPr>
        <w:t>interfere with</w:t>
      </w:r>
      <w:r w:rsidRPr="00B46A5E">
        <w:rPr>
          <w:lang w:val="en-US"/>
        </w:rPr>
        <w:t xml:space="preserve"> human placental barrier</w:t>
      </w:r>
      <w:r w:rsidR="00DA5E9F">
        <w:rPr>
          <w:lang w:val="en-US"/>
        </w:rPr>
        <w:t xml:space="preserve"> function</w:t>
      </w:r>
      <w:r w:rsidRPr="00B46A5E">
        <w:rPr>
          <w:lang w:val="en-US"/>
        </w:rPr>
        <w:t xml:space="preserve">, with a particular focus on </w:t>
      </w:r>
      <w:r w:rsidR="00DA5E9F">
        <w:rPr>
          <w:lang w:val="en-US"/>
        </w:rPr>
        <w:t xml:space="preserve">ATP-dependent </w:t>
      </w:r>
      <w:r w:rsidR="002578CC">
        <w:rPr>
          <w:lang w:val="en-US"/>
        </w:rPr>
        <w:t xml:space="preserve">efflux </w:t>
      </w:r>
      <w:r w:rsidRPr="00B46A5E">
        <w:rPr>
          <w:lang w:val="en-US"/>
        </w:rPr>
        <w:t>transporter</w:t>
      </w:r>
      <w:r w:rsidR="00DA5E9F">
        <w:rPr>
          <w:lang w:val="en-US"/>
        </w:rPr>
        <w:t>s that contribute to fetal protection.</w:t>
      </w:r>
    </w:p>
    <w:p w14:paraId="64BAE5FB" w14:textId="77777777" w:rsidR="001D12E6" w:rsidRDefault="001D12E6" w:rsidP="00B46A5E">
      <w:pPr>
        <w:rPr>
          <w:lang w:val="en-US"/>
        </w:rPr>
      </w:pPr>
      <w:r>
        <w:rPr>
          <w:lang w:val="en-US"/>
        </w:rPr>
        <w:t xml:space="preserve">Methods: </w:t>
      </w:r>
    </w:p>
    <w:p w14:paraId="6B9AB939" w14:textId="2B0E7568" w:rsidR="00B46A5E" w:rsidRPr="00B46A5E" w:rsidRDefault="00B46A5E" w:rsidP="00B46A5E">
      <w:pPr>
        <w:rPr>
          <w:lang w:val="en-US"/>
        </w:rPr>
      </w:pPr>
      <w:r w:rsidRPr="00B46A5E">
        <w:rPr>
          <w:lang w:val="en-US"/>
        </w:rPr>
        <w:t xml:space="preserve">A human in vitro placental barrier </w:t>
      </w:r>
      <w:r w:rsidR="002578CC">
        <w:rPr>
          <w:lang w:val="en-US"/>
        </w:rPr>
        <w:t xml:space="preserve">co-culture </w:t>
      </w:r>
      <w:r w:rsidRPr="00B46A5E">
        <w:rPr>
          <w:lang w:val="en-US"/>
        </w:rPr>
        <w:t xml:space="preserve">model using </w:t>
      </w:r>
      <w:proofErr w:type="spellStart"/>
      <w:r w:rsidRPr="00B46A5E">
        <w:rPr>
          <w:lang w:val="en-US"/>
        </w:rPr>
        <w:t>BeWo</w:t>
      </w:r>
      <w:proofErr w:type="spellEnd"/>
      <w:r w:rsidRPr="00B46A5E">
        <w:rPr>
          <w:lang w:val="en-US"/>
        </w:rPr>
        <w:t xml:space="preserve"> b30 </w:t>
      </w:r>
      <w:r w:rsidR="00DA5E9F">
        <w:rPr>
          <w:lang w:val="en-US"/>
        </w:rPr>
        <w:t>trophoblasts</w:t>
      </w:r>
      <w:r w:rsidRPr="00B46A5E">
        <w:rPr>
          <w:lang w:val="en-US"/>
        </w:rPr>
        <w:t xml:space="preserve"> (including </w:t>
      </w:r>
      <w:r w:rsidR="002578CC">
        <w:rPr>
          <w:lang w:val="en-US"/>
        </w:rPr>
        <w:t xml:space="preserve">a </w:t>
      </w:r>
      <w:proofErr w:type="spellStart"/>
      <w:r w:rsidRPr="00B46A5E">
        <w:rPr>
          <w:lang w:val="en-US"/>
        </w:rPr>
        <w:t>syncytialized</w:t>
      </w:r>
      <w:proofErr w:type="spellEnd"/>
      <w:r w:rsidRPr="00B46A5E">
        <w:rPr>
          <w:lang w:val="en-US"/>
        </w:rPr>
        <w:t xml:space="preserve"> layer) and human placental vascular endothelial cells (HPVECs)</w:t>
      </w:r>
      <w:r w:rsidR="00DA5E9F">
        <w:rPr>
          <w:lang w:val="en-US"/>
        </w:rPr>
        <w:t xml:space="preserve"> was established</w:t>
      </w:r>
      <w:r w:rsidRPr="00B46A5E">
        <w:rPr>
          <w:lang w:val="en-US"/>
        </w:rPr>
        <w:t xml:space="preserve">. Cytotoxicity and viability were assessed following PFAS exposure (0.1–100 µM) </w:t>
      </w:r>
      <w:r w:rsidR="00DA5E9F">
        <w:rPr>
          <w:lang w:val="en-US"/>
        </w:rPr>
        <w:t xml:space="preserve">using LDH release and MTT assays </w:t>
      </w:r>
      <w:r w:rsidRPr="00B46A5E">
        <w:rPr>
          <w:lang w:val="en-US"/>
        </w:rPr>
        <w:t xml:space="preserve">and </w:t>
      </w:r>
      <w:r w:rsidR="00DA5E9F">
        <w:rPr>
          <w:lang w:val="en-US"/>
        </w:rPr>
        <w:t>benchmarked against</w:t>
      </w:r>
      <w:r w:rsidRPr="00B46A5E">
        <w:rPr>
          <w:lang w:val="en-US"/>
        </w:rPr>
        <w:t xml:space="preserve"> reference toxicants (acrolein, bleomycin, MMS). </w:t>
      </w:r>
      <w:r w:rsidR="00DA5E9F">
        <w:rPr>
          <w:lang w:val="en-US"/>
        </w:rPr>
        <w:t>A</w:t>
      </w:r>
      <w:r w:rsidRPr="00B46A5E">
        <w:rPr>
          <w:lang w:val="en-US"/>
        </w:rPr>
        <w:t xml:space="preserve">ctivity of </w:t>
      </w:r>
      <w:r w:rsidR="00DA5E9F">
        <w:rPr>
          <w:lang w:val="en-US"/>
        </w:rPr>
        <w:t xml:space="preserve">key </w:t>
      </w:r>
      <w:r w:rsidRPr="00B46A5E">
        <w:rPr>
          <w:lang w:val="en-US"/>
        </w:rPr>
        <w:t>ATP-binding cassette transporters (P-</w:t>
      </w:r>
      <w:proofErr w:type="spellStart"/>
      <w:r w:rsidRPr="00B46A5E">
        <w:rPr>
          <w:lang w:val="en-US"/>
        </w:rPr>
        <w:t>gp</w:t>
      </w:r>
      <w:proofErr w:type="spellEnd"/>
      <w:r w:rsidRPr="00B46A5E">
        <w:rPr>
          <w:lang w:val="en-US"/>
        </w:rPr>
        <w:t xml:space="preserve">, BCRP, MRP) was </w:t>
      </w:r>
      <w:r w:rsidR="00DA5E9F">
        <w:rPr>
          <w:lang w:val="en-US"/>
        </w:rPr>
        <w:t>quantified</w:t>
      </w:r>
      <w:r w:rsidRPr="00B46A5E">
        <w:rPr>
          <w:lang w:val="en-US"/>
        </w:rPr>
        <w:t xml:space="preserve"> using </w:t>
      </w:r>
      <w:r w:rsidR="00DA5E9F">
        <w:rPr>
          <w:lang w:val="en-US"/>
        </w:rPr>
        <w:t>established fluorescent substrates (</w:t>
      </w:r>
      <w:r w:rsidRPr="00B46A5E">
        <w:rPr>
          <w:lang w:val="en-US"/>
        </w:rPr>
        <w:t>Rhodamine 123</w:t>
      </w:r>
      <w:r w:rsidR="00DA5E9F">
        <w:rPr>
          <w:lang w:val="en-US"/>
        </w:rPr>
        <w:t xml:space="preserve">, </w:t>
      </w:r>
      <w:r w:rsidRPr="00B46A5E">
        <w:rPr>
          <w:lang w:val="en-US"/>
        </w:rPr>
        <w:t xml:space="preserve">Hoechst </w:t>
      </w:r>
      <w:r w:rsidR="00DA5E9F">
        <w:rPr>
          <w:lang w:val="en-US"/>
        </w:rPr>
        <w:t>33342)</w:t>
      </w:r>
      <w:r w:rsidRPr="00B46A5E">
        <w:rPr>
          <w:lang w:val="en-US"/>
        </w:rPr>
        <w:t xml:space="preserve"> in the presence of PFAS (e.g., PFOA) and </w:t>
      </w:r>
      <w:r w:rsidR="00DA5E9F">
        <w:rPr>
          <w:lang w:val="en-US"/>
        </w:rPr>
        <w:t xml:space="preserve">transporter </w:t>
      </w:r>
      <w:r w:rsidRPr="00B46A5E">
        <w:rPr>
          <w:lang w:val="en-US"/>
        </w:rPr>
        <w:t xml:space="preserve">inhibitors (verapamil, KO143, MK571). </w:t>
      </w:r>
      <w:r w:rsidR="00DA5E9F">
        <w:rPr>
          <w:lang w:val="en-US"/>
        </w:rPr>
        <w:t>Complementary assessments of substrate uptake and distribution were performed in h</w:t>
      </w:r>
      <w:r w:rsidRPr="00B46A5E">
        <w:rPr>
          <w:lang w:val="en-US"/>
        </w:rPr>
        <w:t>uman term placental villous explants.</w:t>
      </w:r>
    </w:p>
    <w:p w14:paraId="2FF98A4A" w14:textId="77777777" w:rsidR="001D12E6" w:rsidRDefault="001D12E6" w:rsidP="00B46A5E">
      <w:pPr>
        <w:rPr>
          <w:lang w:val="en-US"/>
        </w:rPr>
      </w:pPr>
      <w:r>
        <w:rPr>
          <w:lang w:val="en-US"/>
        </w:rPr>
        <w:t xml:space="preserve">Results: </w:t>
      </w:r>
    </w:p>
    <w:p w14:paraId="29C0B678" w14:textId="0ABA8128" w:rsidR="00B46A5E" w:rsidRPr="00B46A5E" w:rsidRDefault="00B46A5E" w:rsidP="00B46A5E">
      <w:pPr>
        <w:rPr>
          <w:lang w:val="en-US"/>
        </w:rPr>
      </w:pPr>
      <w:r w:rsidRPr="00B46A5E">
        <w:rPr>
          <w:lang w:val="en-US"/>
        </w:rPr>
        <w:t xml:space="preserve">Reference toxicants induced </w:t>
      </w:r>
      <w:r w:rsidR="00683BD9">
        <w:rPr>
          <w:lang w:val="en-US"/>
        </w:rPr>
        <w:t xml:space="preserve">concentration-dependent </w:t>
      </w:r>
      <w:r w:rsidR="00C93730">
        <w:rPr>
          <w:lang w:val="en-US"/>
        </w:rPr>
        <w:t xml:space="preserve">cytotoxicity with </w:t>
      </w:r>
      <w:r w:rsidR="00683BD9">
        <w:rPr>
          <w:lang w:val="en-US"/>
        </w:rPr>
        <w:t>consistent</w:t>
      </w:r>
      <w:r w:rsidR="00C93730">
        <w:rPr>
          <w:lang w:val="en-US"/>
        </w:rPr>
        <w:t xml:space="preserve"> correlation between </w:t>
      </w:r>
      <w:r w:rsidRPr="00B46A5E">
        <w:rPr>
          <w:lang w:val="en-US"/>
        </w:rPr>
        <w:t xml:space="preserve">LDH release and </w:t>
      </w:r>
      <w:r w:rsidR="00C93730">
        <w:rPr>
          <w:lang w:val="en-US"/>
        </w:rPr>
        <w:t>mitochondrial activity</w:t>
      </w:r>
      <w:r w:rsidRPr="00B46A5E">
        <w:rPr>
          <w:lang w:val="en-US"/>
        </w:rPr>
        <w:t xml:space="preserve">. In contrast, PFAS </w:t>
      </w:r>
      <w:r w:rsidR="00683BD9">
        <w:rPr>
          <w:lang w:val="en-US"/>
        </w:rPr>
        <w:t>did not induce acute cell death but caused</w:t>
      </w:r>
      <w:r w:rsidRPr="00B46A5E">
        <w:rPr>
          <w:lang w:val="en-US"/>
        </w:rPr>
        <w:t xml:space="preserve"> </w:t>
      </w:r>
      <w:r w:rsidR="00C93730">
        <w:rPr>
          <w:lang w:val="en-US"/>
        </w:rPr>
        <w:t>impaired mitochondrial activity</w:t>
      </w:r>
      <w:r w:rsidR="00683BD9">
        <w:rPr>
          <w:lang w:val="en-US"/>
        </w:rPr>
        <w:t>,</w:t>
      </w:r>
      <w:r w:rsidR="00C93730">
        <w:rPr>
          <w:lang w:val="en-US"/>
        </w:rPr>
        <w:t xml:space="preserve"> </w:t>
      </w:r>
      <w:r w:rsidR="00683BD9">
        <w:rPr>
          <w:lang w:val="en-US"/>
        </w:rPr>
        <w:t>suggesting sub-cytotoxic cellular stress</w:t>
      </w:r>
      <w:r w:rsidRPr="00B46A5E">
        <w:rPr>
          <w:lang w:val="en-US"/>
        </w:rPr>
        <w:t xml:space="preserve">. </w:t>
      </w:r>
      <w:r w:rsidR="00683BD9">
        <w:rPr>
          <w:lang w:val="en-US"/>
        </w:rPr>
        <w:t>As m</w:t>
      </w:r>
      <w:r w:rsidR="00C93730">
        <w:rPr>
          <w:lang w:val="en-US"/>
        </w:rPr>
        <w:t xml:space="preserve">itochondrial dysfunction </w:t>
      </w:r>
      <w:r w:rsidR="00683BD9">
        <w:rPr>
          <w:lang w:val="en-US"/>
        </w:rPr>
        <w:t>can</w:t>
      </w:r>
      <w:r w:rsidR="00C93730">
        <w:rPr>
          <w:lang w:val="en-US"/>
        </w:rPr>
        <w:t xml:space="preserve"> </w:t>
      </w:r>
      <w:r w:rsidR="00683BD9">
        <w:rPr>
          <w:lang w:val="en-US"/>
        </w:rPr>
        <w:t>reduce</w:t>
      </w:r>
      <w:r w:rsidR="00C93730">
        <w:rPr>
          <w:lang w:val="en-US"/>
        </w:rPr>
        <w:t xml:space="preserve"> ATP </w:t>
      </w:r>
      <w:r w:rsidR="00683BD9">
        <w:rPr>
          <w:lang w:val="en-US"/>
        </w:rPr>
        <w:t>availability</w:t>
      </w:r>
      <w:r w:rsidR="00C93730">
        <w:rPr>
          <w:lang w:val="en-US"/>
        </w:rPr>
        <w:t xml:space="preserve">, </w:t>
      </w:r>
      <w:r w:rsidR="00683BD9">
        <w:rPr>
          <w:lang w:val="en-US"/>
        </w:rPr>
        <w:t>this may compromise</w:t>
      </w:r>
      <w:r w:rsidR="00C93730">
        <w:rPr>
          <w:lang w:val="en-US"/>
        </w:rPr>
        <w:t xml:space="preserve"> ATP-dependent efflux transporters</w:t>
      </w:r>
      <w:r w:rsidR="00B3427D">
        <w:rPr>
          <w:lang w:val="en-US"/>
        </w:rPr>
        <w:t xml:space="preserve"> activity.</w:t>
      </w:r>
      <w:r w:rsidR="00C93730">
        <w:rPr>
          <w:lang w:val="en-US"/>
        </w:rPr>
        <w:t xml:space="preserve"> </w:t>
      </w:r>
      <w:r w:rsidR="00B3427D">
        <w:rPr>
          <w:lang w:val="en-US"/>
        </w:rPr>
        <w:t>Indeed, t</w:t>
      </w:r>
      <w:r w:rsidRPr="00B46A5E">
        <w:rPr>
          <w:lang w:val="en-US"/>
        </w:rPr>
        <w:t xml:space="preserve">ransporter assays </w:t>
      </w:r>
      <w:r w:rsidR="00B3427D">
        <w:rPr>
          <w:lang w:val="en-US"/>
        </w:rPr>
        <w:t>showed</w:t>
      </w:r>
      <w:r w:rsidRPr="00B46A5E">
        <w:rPr>
          <w:lang w:val="en-US"/>
        </w:rPr>
        <w:t xml:space="preserve"> reduced Rhodamine 123 uptake and efflux in the presence of verapamil and PFOA, </w:t>
      </w:r>
      <w:r w:rsidR="00B3427D">
        <w:rPr>
          <w:lang w:val="en-US"/>
        </w:rPr>
        <w:t>indicating</w:t>
      </w:r>
      <w:r w:rsidRPr="00B46A5E">
        <w:rPr>
          <w:lang w:val="en-US"/>
        </w:rPr>
        <w:t xml:space="preserve"> </w:t>
      </w:r>
      <w:r w:rsidR="00B3427D">
        <w:rPr>
          <w:lang w:val="en-US"/>
        </w:rPr>
        <w:t>PFAS-mediated interference</w:t>
      </w:r>
      <w:r w:rsidR="00C93730">
        <w:rPr>
          <w:lang w:val="en-US"/>
        </w:rPr>
        <w:t xml:space="preserve"> </w:t>
      </w:r>
      <w:r w:rsidRPr="00B46A5E">
        <w:rPr>
          <w:lang w:val="en-US"/>
        </w:rPr>
        <w:t>with P-</w:t>
      </w:r>
      <w:proofErr w:type="spellStart"/>
      <w:r w:rsidRPr="00B46A5E">
        <w:rPr>
          <w:lang w:val="en-US"/>
        </w:rPr>
        <w:t>gp</w:t>
      </w:r>
      <w:proofErr w:type="spellEnd"/>
      <w:r w:rsidRPr="00B46A5E">
        <w:rPr>
          <w:lang w:val="en-US"/>
        </w:rPr>
        <w:t xml:space="preserve"> function. In </w:t>
      </w:r>
      <w:r w:rsidR="00C93730">
        <w:rPr>
          <w:lang w:val="en-US"/>
        </w:rPr>
        <w:t xml:space="preserve">placental </w:t>
      </w:r>
      <w:r w:rsidRPr="00B46A5E">
        <w:rPr>
          <w:lang w:val="en-US"/>
        </w:rPr>
        <w:t>explants, PFAS</w:t>
      </w:r>
      <w:r w:rsidR="00B3427D">
        <w:rPr>
          <w:lang w:val="en-US"/>
        </w:rPr>
        <w:t xml:space="preserve"> exposure</w:t>
      </w:r>
      <w:r w:rsidRPr="00B46A5E">
        <w:rPr>
          <w:lang w:val="en-US"/>
        </w:rPr>
        <w:t xml:space="preserve"> delayed </w:t>
      </w:r>
      <w:r w:rsidR="00C93730">
        <w:rPr>
          <w:lang w:val="en-US"/>
        </w:rPr>
        <w:t>tissue penetration of fluorescent substrate</w:t>
      </w:r>
      <w:r w:rsidR="00B3427D">
        <w:rPr>
          <w:lang w:val="en-US"/>
        </w:rPr>
        <w:t>s</w:t>
      </w:r>
      <w:r w:rsidR="00795785">
        <w:rPr>
          <w:lang w:val="en-US"/>
        </w:rPr>
        <w:t xml:space="preserve"> </w:t>
      </w:r>
      <w:r w:rsidRPr="00B46A5E">
        <w:rPr>
          <w:lang w:val="en-US"/>
        </w:rPr>
        <w:t>compared to controls</w:t>
      </w:r>
      <w:r w:rsidR="00B3427D">
        <w:rPr>
          <w:lang w:val="en-US"/>
        </w:rPr>
        <w:t>, and e</w:t>
      </w:r>
      <w:r w:rsidRPr="00B46A5E">
        <w:rPr>
          <w:lang w:val="en-US"/>
        </w:rPr>
        <w:t xml:space="preserve">fflux studies </w:t>
      </w:r>
      <w:r w:rsidR="00B3427D">
        <w:rPr>
          <w:lang w:val="en-US"/>
        </w:rPr>
        <w:t>revealed</w:t>
      </w:r>
      <w:r w:rsidRPr="00B46A5E">
        <w:rPr>
          <w:lang w:val="en-US"/>
        </w:rPr>
        <w:t xml:space="preserve"> </w:t>
      </w:r>
      <w:r w:rsidR="00B3427D">
        <w:rPr>
          <w:lang w:val="en-US"/>
        </w:rPr>
        <w:t>diminished</w:t>
      </w:r>
      <w:r w:rsidRPr="00B46A5E">
        <w:rPr>
          <w:lang w:val="en-US"/>
        </w:rPr>
        <w:t xml:space="preserve"> transporter activity </w:t>
      </w:r>
      <w:r w:rsidR="00B3427D">
        <w:rPr>
          <w:lang w:val="en-US"/>
        </w:rPr>
        <w:t>c</w:t>
      </w:r>
      <w:r w:rsidRPr="00B46A5E">
        <w:rPr>
          <w:lang w:val="en-US"/>
        </w:rPr>
        <w:t xml:space="preserve">omparable to </w:t>
      </w:r>
      <w:r w:rsidR="00795785">
        <w:rPr>
          <w:lang w:val="en-US"/>
        </w:rPr>
        <w:t>classical</w:t>
      </w:r>
      <w:r w:rsidRPr="00B46A5E">
        <w:rPr>
          <w:lang w:val="en-US"/>
        </w:rPr>
        <w:t xml:space="preserve"> inhibitors. Hoechst assays </w:t>
      </w:r>
      <w:r w:rsidR="00B3427D">
        <w:rPr>
          <w:lang w:val="en-US"/>
        </w:rPr>
        <w:t>further demonstrated</w:t>
      </w:r>
      <w:r w:rsidRPr="00B46A5E">
        <w:rPr>
          <w:lang w:val="en-US"/>
        </w:rPr>
        <w:t xml:space="preserve"> </w:t>
      </w:r>
      <w:r w:rsidR="00B3427D">
        <w:rPr>
          <w:lang w:val="en-US"/>
        </w:rPr>
        <w:t xml:space="preserve">time-dependent </w:t>
      </w:r>
      <w:r w:rsidRPr="00B46A5E">
        <w:rPr>
          <w:lang w:val="en-US"/>
        </w:rPr>
        <w:t>impair</w:t>
      </w:r>
      <w:r w:rsidR="00B3427D">
        <w:rPr>
          <w:lang w:val="en-US"/>
        </w:rPr>
        <w:t>ment of</w:t>
      </w:r>
      <w:r w:rsidRPr="00B46A5E">
        <w:rPr>
          <w:lang w:val="en-US"/>
        </w:rPr>
        <w:t xml:space="preserve"> BCRP-</w:t>
      </w:r>
      <w:r w:rsidR="00B3427D">
        <w:rPr>
          <w:lang w:val="en-US"/>
        </w:rPr>
        <w:t xml:space="preserve">mediated </w:t>
      </w:r>
      <w:r w:rsidRPr="00B46A5E">
        <w:rPr>
          <w:lang w:val="en-US"/>
        </w:rPr>
        <w:t>efflux.</w:t>
      </w:r>
    </w:p>
    <w:p w14:paraId="683B351D" w14:textId="77777777" w:rsidR="001D12E6" w:rsidRDefault="001D12E6" w:rsidP="00B46A5E">
      <w:pPr>
        <w:rPr>
          <w:lang w:val="en-US"/>
        </w:rPr>
      </w:pPr>
      <w:r>
        <w:rPr>
          <w:lang w:val="en-US"/>
        </w:rPr>
        <w:t xml:space="preserve">Conclusion: </w:t>
      </w:r>
    </w:p>
    <w:p w14:paraId="6124EFAF" w14:textId="05E61EE0" w:rsidR="00B46A5E" w:rsidRPr="00B46A5E" w:rsidRDefault="00795785" w:rsidP="00B46A5E">
      <w:pPr>
        <w:rPr>
          <w:lang w:val="en-US"/>
        </w:rPr>
      </w:pPr>
      <w:r>
        <w:rPr>
          <w:lang w:val="en-US"/>
        </w:rPr>
        <w:t xml:space="preserve">In summary, </w:t>
      </w:r>
      <w:r w:rsidR="00B46A5E" w:rsidRPr="00B46A5E">
        <w:rPr>
          <w:lang w:val="en-US"/>
        </w:rPr>
        <w:t xml:space="preserve">PFAS did not </w:t>
      </w:r>
      <w:r w:rsidR="00B3427D">
        <w:rPr>
          <w:lang w:val="en-US"/>
        </w:rPr>
        <w:t>elicit</w:t>
      </w:r>
      <w:r w:rsidR="00B46A5E" w:rsidRPr="00B46A5E">
        <w:rPr>
          <w:lang w:val="en-US"/>
        </w:rPr>
        <w:t xml:space="preserve"> acute cytotoxicity in placental </w:t>
      </w:r>
      <w:r>
        <w:rPr>
          <w:lang w:val="en-US"/>
        </w:rPr>
        <w:t>cells</w:t>
      </w:r>
      <w:r w:rsidR="00B46A5E" w:rsidRPr="00B46A5E">
        <w:rPr>
          <w:lang w:val="en-US"/>
        </w:rPr>
        <w:t xml:space="preserve"> but </w:t>
      </w:r>
      <w:r w:rsidR="00B3427D">
        <w:rPr>
          <w:lang w:val="en-US"/>
        </w:rPr>
        <w:t>disrupted</w:t>
      </w:r>
      <w:r w:rsidR="00B46A5E" w:rsidRPr="00B46A5E">
        <w:rPr>
          <w:lang w:val="en-US"/>
        </w:rPr>
        <w:t xml:space="preserve"> </w:t>
      </w:r>
      <w:r w:rsidR="00B3427D">
        <w:rPr>
          <w:lang w:val="en-US"/>
        </w:rPr>
        <w:t xml:space="preserve">mitochondrial function and </w:t>
      </w:r>
      <w:r w:rsidR="00B46A5E" w:rsidRPr="00B46A5E">
        <w:rPr>
          <w:lang w:val="en-US"/>
        </w:rPr>
        <w:t xml:space="preserve">ATP-dependent </w:t>
      </w:r>
      <w:r w:rsidR="00B3427D">
        <w:rPr>
          <w:lang w:val="en-US"/>
        </w:rPr>
        <w:t xml:space="preserve">efflux </w:t>
      </w:r>
      <w:r w:rsidR="00B46A5E" w:rsidRPr="00B46A5E">
        <w:rPr>
          <w:lang w:val="en-US"/>
        </w:rPr>
        <w:t xml:space="preserve">transporter activity. These results suggest that PFAS may </w:t>
      </w:r>
      <w:r w:rsidR="00B3427D">
        <w:rPr>
          <w:lang w:val="en-US"/>
        </w:rPr>
        <w:t>impair</w:t>
      </w:r>
      <w:r w:rsidR="00B46A5E" w:rsidRPr="00B46A5E">
        <w:rPr>
          <w:lang w:val="en-US"/>
        </w:rPr>
        <w:t xml:space="preserve"> </w:t>
      </w:r>
      <w:r>
        <w:rPr>
          <w:lang w:val="en-US"/>
        </w:rPr>
        <w:t xml:space="preserve">essential </w:t>
      </w:r>
      <w:r w:rsidR="00B46A5E" w:rsidRPr="00B46A5E">
        <w:rPr>
          <w:lang w:val="en-US"/>
        </w:rPr>
        <w:t xml:space="preserve">placental </w:t>
      </w:r>
      <w:r>
        <w:rPr>
          <w:lang w:val="en-US"/>
        </w:rPr>
        <w:t>detoxification</w:t>
      </w:r>
      <w:r w:rsidR="00B46A5E" w:rsidRPr="00B46A5E">
        <w:rPr>
          <w:lang w:val="en-US"/>
        </w:rPr>
        <w:t xml:space="preserve"> </w:t>
      </w:r>
      <w:r w:rsidR="00B3427D">
        <w:rPr>
          <w:lang w:val="en-US"/>
        </w:rPr>
        <w:t>processes through non-</w:t>
      </w:r>
      <w:r w:rsidR="00B46A5E" w:rsidRPr="00B46A5E">
        <w:rPr>
          <w:lang w:val="en-US"/>
        </w:rPr>
        <w:t xml:space="preserve">cytotoxic </w:t>
      </w:r>
      <w:r w:rsidR="00B3427D">
        <w:rPr>
          <w:lang w:val="en-US"/>
        </w:rPr>
        <w:t>mechanisms, potentially compromising</w:t>
      </w:r>
      <w:r>
        <w:rPr>
          <w:lang w:val="en-US"/>
        </w:rPr>
        <w:t xml:space="preserve"> fetal protection</w:t>
      </w:r>
      <w:r w:rsidR="00B46A5E" w:rsidRPr="00B46A5E">
        <w:rPr>
          <w:lang w:val="en-US"/>
        </w:rPr>
        <w:t>.</w:t>
      </w:r>
    </w:p>
    <w:p w14:paraId="5A082984" w14:textId="77777777" w:rsidR="006E4F97" w:rsidRDefault="006E4F97" w:rsidP="00F12F19">
      <w:pPr>
        <w:rPr>
          <w:lang w:val="en-US"/>
        </w:rPr>
      </w:pPr>
    </w:p>
    <w:p w14:paraId="08076CA4" w14:textId="42718D26" w:rsidR="00C12A37" w:rsidRPr="00C12A37" w:rsidRDefault="00C12A37" w:rsidP="00F12F19">
      <w:pPr>
        <w:rPr>
          <w:lang w:val="en"/>
        </w:rPr>
      </w:pPr>
      <w:r>
        <w:rPr>
          <w:lang w:val="en-US"/>
        </w:rPr>
        <w:t xml:space="preserve">Acknowledgement: </w:t>
      </w:r>
      <w:r w:rsidRPr="00C12A37">
        <w:rPr>
          <w:lang w:val="en"/>
        </w:rPr>
        <w:t xml:space="preserve">This work has received funding from the European Union’s Horizon Europe Research and Innovation </w:t>
      </w:r>
      <w:proofErr w:type="spellStart"/>
      <w:r w:rsidRPr="00C12A37">
        <w:rPr>
          <w:lang w:val="en"/>
        </w:rPr>
        <w:t>Programme</w:t>
      </w:r>
      <w:proofErr w:type="spellEnd"/>
      <w:r w:rsidRPr="00C12A37">
        <w:rPr>
          <w:lang w:val="en"/>
        </w:rPr>
        <w:t xml:space="preserve"> through the CHIASMA project (grant agreement No. 101137613).</w:t>
      </w:r>
    </w:p>
    <w:sectPr w:rsidR="00C12A37" w:rsidRPr="00C12A37" w:rsidSect="00250DEB">
      <w:headerReference w:type="default" r:id="rId7"/>
      <w:pgSz w:w="11906" w:h="16838" w:code="9"/>
      <w:pgMar w:top="567" w:right="964" w:bottom="1134" w:left="130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4C54" w14:textId="77777777" w:rsidR="00B46A5E" w:rsidRDefault="00B46A5E">
      <w:r>
        <w:separator/>
      </w:r>
    </w:p>
  </w:endnote>
  <w:endnote w:type="continuationSeparator" w:id="0">
    <w:p w14:paraId="6C6FBCF5" w14:textId="77777777" w:rsidR="00B46A5E" w:rsidRDefault="00B4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A6AF6" w14:textId="77777777" w:rsidR="00B46A5E" w:rsidRDefault="00B46A5E">
      <w:r>
        <w:separator/>
      </w:r>
    </w:p>
  </w:footnote>
  <w:footnote w:type="continuationSeparator" w:id="0">
    <w:p w14:paraId="5F831875" w14:textId="77777777" w:rsidR="00B46A5E" w:rsidRDefault="00B46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26C1B" w14:textId="77777777" w:rsidR="00BA4EA3" w:rsidRPr="00D37AE9" w:rsidRDefault="003C6FB2" w:rsidP="00026289">
    <w:pPr>
      <w:pStyle w:val="Header"/>
      <w:spacing w:after="1320"/>
      <w:rPr>
        <w:rFonts w:cs="Segoe UI"/>
      </w:rPr>
    </w:pPr>
    <w:r>
      <w:rPr>
        <w:rFonts w:cs="Segoe UI"/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6A98C882" wp14:editId="0251198B">
          <wp:simplePos x="0" y="0"/>
          <wp:positionH relativeFrom="column">
            <wp:posOffset>4538743</wp:posOffset>
          </wp:positionH>
          <wp:positionV relativeFrom="paragraph">
            <wp:posOffset>259080</wp:posOffset>
          </wp:positionV>
          <wp:extent cx="1629583" cy="437455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s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583" cy="437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408A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C27A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985A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E1E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C635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608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D817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CC9A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292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0C5F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432BB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5B15D5"/>
    <w:multiLevelType w:val="multilevel"/>
    <w:tmpl w:val="3B50EC3A"/>
    <w:lvl w:ilvl="0">
      <w:start w:val="1"/>
      <w:numFmt w:val="bullet"/>
      <w:lvlText w:val="●"/>
      <w:lvlJc w:val="left"/>
      <w:pPr>
        <w:tabs>
          <w:tab w:val="num" w:pos="851"/>
        </w:tabs>
        <w:ind w:left="340" w:firstLine="17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340" w:firstLine="511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02B7661"/>
    <w:multiLevelType w:val="hybridMultilevel"/>
    <w:tmpl w:val="81BEC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A46E2"/>
    <w:multiLevelType w:val="hybridMultilevel"/>
    <w:tmpl w:val="405C5B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6DB1"/>
    <w:multiLevelType w:val="multilevel"/>
    <w:tmpl w:val="F1B2DDAA"/>
    <w:lvl w:ilvl="0">
      <w:start w:val="1"/>
      <w:numFmt w:val="bullet"/>
      <w:pStyle w:val="Aufzhlung"/>
      <w:lvlText w:val="●"/>
      <w:lvlJc w:val="left"/>
      <w:pPr>
        <w:tabs>
          <w:tab w:val="num" w:pos="341"/>
        </w:tabs>
        <w:ind w:left="34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1"/>
        </w:tabs>
        <w:ind w:left="68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021"/>
        </w:tabs>
        <w:ind w:left="1021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▫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</w:abstractNum>
  <w:abstractNum w:abstractNumId="15" w15:restartNumberingAfterBreak="0">
    <w:nsid w:val="421D14DE"/>
    <w:multiLevelType w:val="multilevel"/>
    <w:tmpl w:val="4AE0E988"/>
    <w:lvl w:ilvl="0">
      <w:start w:val="1"/>
      <w:numFmt w:val="decimal"/>
      <w:lvlText w:val="%1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2AE5D51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7" w15:restartNumberingAfterBreak="0">
    <w:nsid w:val="4A237231"/>
    <w:multiLevelType w:val="multilevel"/>
    <w:tmpl w:val="7DDE131E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D1F5562"/>
    <w:multiLevelType w:val="multilevel"/>
    <w:tmpl w:val="390E1D86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531"/>
        </w:tabs>
        <w:ind w:left="1531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550A38C2"/>
    <w:multiLevelType w:val="multilevel"/>
    <w:tmpl w:val="611619A6"/>
    <w:lvl w:ilvl="0">
      <w:start w:val="1"/>
      <w:numFmt w:val="bullet"/>
      <w:lvlText w:val=""/>
      <w:lvlJc w:val="left"/>
      <w:pPr>
        <w:tabs>
          <w:tab w:val="num" w:pos="919"/>
        </w:tabs>
        <w:ind w:left="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9"/>
        </w:tabs>
        <w:ind w:left="1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59"/>
        </w:tabs>
        <w:ind w:left="2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79"/>
        </w:tabs>
        <w:ind w:left="3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99"/>
        </w:tabs>
        <w:ind w:left="3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19"/>
        </w:tabs>
        <w:ind w:left="4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39"/>
        </w:tabs>
        <w:ind w:left="5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9"/>
        </w:tabs>
        <w:ind w:left="5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79"/>
        </w:tabs>
        <w:ind w:left="6679" w:hanging="360"/>
      </w:pPr>
      <w:rPr>
        <w:rFonts w:ascii="Wingdings" w:hAnsi="Wingdings" w:hint="default"/>
      </w:rPr>
    </w:lvl>
  </w:abstractNum>
  <w:abstractNum w:abstractNumId="20" w15:restartNumberingAfterBreak="0">
    <w:nsid w:val="5D566A7F"/>
    <w:multiLevelType w:val="hybridMultilevel"/>
    <w:tmpl w:val="97D44F48"/>
    <w:lvl w:ilvl="0" w:tplc="3CD87DE0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1D6322"/>
    <w:multiLevelType w:val="multilevel"/>
    <w:tmpl w:val="7DDE131E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6FE168BE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93E07DF"/>
    <w:multiLevelType w:val="multilevel"/>
    <w:tmpl w:val="BE3C9B14"/>
    <w:lvl w:ilvl="0">
      <w:start w:val="1"/>
      <w:numFmt w:val="bullet"/>
      <w:lvlText w:val=""/>
      <w:lvlJc w:val="left"/>
      <w:pPr>
        <w:tabs>
          <w:tab w:val="num" w:pos="851"/>
        </w:tabs>
        <w:ind w:left="340" w:firstLine="17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7C121BDC"/>
    <w:multiLevelType w:val="multilevel"/>
    <w:tmpl w:val="03C86908"/>
    <w:lvl w:ilvl="0">
      <w:start w:val="1"/>
      <w:numFmt w:val="bullet"/>
      <w:lvlText w:val=""/>
      <w:lvlJc w:val="left"/>
      <w:pPr>
        <w:tabs>
          <w:tab w:val="num" w:pos="919"/>
        </w:tabs>
        <w:ind w:left="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9"/>
        </w:tabs>
        <w:ind w:left="1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59"/>
        </w:tabs>
        <w:ind w:left="2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79"/>
        </w:tabs>
        <w:ind w:left="3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99"/>
        </w:tabs>
        <w:ind w:left="3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19"/>
        </w:tabs>
        <w:ind w:left="4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39"/>
        </w:tabs>
        <w:ind w:left="5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9"/>
        </w:tabs>
        <w:ind w:left="5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79"/>
        </w:tabs>
        <w:ind w:left="6679" w:hanging="360"/>
      </w:pPr>
      <w:rPr>
        <w:rFonts w:ascii="Wingdings" w:hAnsi="Wingdings" w:hint="default"/>
      </w:rPr>
    </w:lvl>
  </w:abstractNum>
  <w:num w:numId="1" w16cid:durableId="475420944">
    <w:abstractNumId w:val="16"/>
  </w:num>
  <w:num w:numId="2" w16cid:durableId="1258364488">
    <w:abstractNumId w:val="15"/>
  </w:num>
  <w:num w:numId="3" w16cid:durableId="700398605">
    <w:abstractNumId w:val="9"/>
  </w:num>
  <w:num w:numId="4" w16cid:durableId="988708593">
    <w:abstractNumId w:val="9"/>
  </w:num>
  <w:num w:numId="5" w16cid:durableId="1660427527">
    <w:abstractNumId w:val="15"/>
  </w:num>
  <w:num w:numId="6" w16cid:durableId="905382740">
    <w:abstractNumId w:val="15"/>
  </w:num>
  <w:num w:numId="7" w16cid:durableId="2077166412">
    <w:abstractNumId w:val="15"/>
  </w:num>
  <w:num w:numId="8" w16cid:durableId="346255534">
    <w:abstractNumId w:val="15"/>
  </w:num>
  <w:num w:numId="9" w16cid:durableId="1854877670">
    <w:abstractNumId w:val="13"/>
  </w:num>
  <w:num w:numId="10" w16cid:durableId="67927407">
    <w:abstractNumId w:val="12"/>
  </w:num>
  <w:num w:numId="11" w16cid:durableId="154885310">
    <w:abstractNumId w:val="14"/>
  </w:num>
  <w:num w:numId="12" w16cid:durableId="50620037">
    <w:abstractNumId w:val="24"/>
  </w:num>
  <w:num w:numId="13" w16cid:durableId="1501306919">
    <w:abstractNumId w:val="23"/>
  </w:num>
  <w:num w:numId="14" w16cid:durableId="129715110">
    <w:abstractNumId w:val="19"/>
  </w:num>
  <w:num w:numId="15" w16cid:durableId="504130990">
    <w:abstractNumId w:val="11"/>
  </w:num>
  <w:num w:numId="16" w16cid:durableId="1937245769">
    <w:abstractNumId w:val="21"/>
  </w:num>
  <w:num w:numId="17" w16cid:durableId="658774370">
    <w:abstractNumId w:val="17"/>
  </w:num>
  <w:num w:numId="18" w16cid:durableId="261911720">
    <w:abstractNumId w:val="18"/>
  </w:num>
  <w:num w:numId="19" w16cid:durableId="825246694">
    <w:abstractNumId w:val="7"/>
  </w:num>
  <w:num w:numId="20" w16cid:durableId="235090399">
    <w:abstractNumId w:val="6"/>
  </w:num>
  <w:num w:numId="21" w16cid:durableId="1520390030">
    <w:abstractNumId w:val="5"/>
  </w:num>
  <w:num w:numId="22" w16cid:durableId="775487834">
    <w:abstractNumId w:val="4"/>
  </w:num>
  <w:num w:numId="23" w16cid:durableId="236405862">
    <w:abstractNumId w:val="8"/>
  </w:num>
  <w:num w:numId="24" w16cid:durableId="1108038494">
    <w:abstractNumId w:val="3"/>
  </w:num>
  <w:num w:numId="25" w16cid:durableId="197619694">
    <w:abstractNumId w:val="2"/>
  </w:num>
  <w:num w:numId="26" w16cid:durableId="1837651150">
    <w:abstractNumId w:val="1"/>
  </w:num>
  <w:num w:numId="27" w16cid:durableId="2091268031">
    <w:abstractNumId w:val="0"/>
  </w:num>
  <w:num w:numId="28" w16cid:durableId="1507014578">
    <w:abstractNumId w:val="10"/>
  </w:num>
  <w:num w:numId="29" w16cid:durableId="489978092">
    <w:abstractNumId w:val="22"/>
  </w:num>
  <w:num w:numId="30" w16cid:durableId="1134641371">
    <w:abstractNumId w:val="20"/>
  </w:num>
  <w:num w:numId="31" w16cid:durableId="10917027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2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0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5E"/>
    <w:rsid w:val="00004E5E"/>
    <w:rsid w:val="000209B5"/>
    <w:rsid w:val="00026289"/>
    <w:rsid w:val="000776B5"/>
    <w:rsid w:val="000F3112"/>
    <w:rsid w:val="000F6F3F"/>
    <w:rsid w:val="001343EC"/>
    <w:rsid w:val="00153B5F"/>
    <w:rsid w:val="001570DB"/>
    <w:rsid w:val="00177EF6"/>
    <w:rsid w:val="001D12E6"/>
    <w:rsid w:val="0022125E"/>
    <w:rsid w:val="00240CC0"/>
    <w:rsid w:val="00240E6E"/>
    <w:rsid w:val="00250DEB"/>
    <w:rsid w:val="002578CC"/>
    <w:rsid w:val="00261A22"/>
    <w:rsid w:val="002650D7"/>
    <w:rsid w:val="00281CBB"/>
    <w:rsid w:val="00307E5F"/>
    <w:rsid w:val="00330FB1"/>
    <w:rsid w:val="003353DB"/>
    <w:rsid w:val="003442DF"/>
    <w:rsid w:val="003514BA"/>
    <w:rsid w:val="003766DF"/>
    <w:rsid w:val="0038074E"/>
    <w:rsid w:val="00384D19"/>
    <w:rsid w:val="003C6FB2"/>
    <w:rsid w:val="00441933"/>
    <w:rsid w:val="00487401"/>
    <w:rsid w:val="004E4836"/>
    <w:rsid w:val="0054464E"/>
    <w:rsid w:val="00550CCA"/>
    <w:rsid w:val="00555D8F"/>
    <w:rsid w:val="00561CAA"/>
    <w:rsid w:val="00583831"/>
    <w:rsid w:val="005851BF"/>
    <w:rsid w:val="00594CBD"/>
    <w:rsid w:val="00595CBD"/>
    <w:rsid w:val="005D73CE"/>
    <w:rsid w:val="005E4AE7"/>
    <w:rsid w:val="005F295D"/>
    <w:rsid w:val="00600D78"/>
    <w:rsid w:val="00616112"/>
    <w:rsid w:val="006169D4"/>
    <w:rsid w:val="0063200F"/>
    <w:rsid w:val="00676C57"/>
    <w:rsid w:val="00683BD9"/>
    <w:rsid w:val="006C15CA"/>
    <w:rsid w:val="006E4F97"/>
    <w:rsid w:val="006F04BB"/>
    <w:rsid w:val="007139B1"/>
    <w:rsid w:val="00715FCB"/>
    <w:rsid w:val="00720B1B"/>
    <w:rsid w:val="00726AEA"/>
    <w:rsid w:val="00795785"/>
    <w:rsid w:val="007B48DD"/>
    <w:rsid w:val="008C080D"/>
    <w:rsid w:val="008C5E35"/>
    <w:rsid w:val="008E4D06"/>
    <w:rsid w:val="008E6FD6"/>
    <w:rsid w:val="00931D7B"/>
    <w:rsid w:val="00976252"/>
    <w:rsid w:val="00986B2F"/>
    <w:rsid w:val="009C7E9A"/>
    <w:rsid w:val="00A37A88"/>
    <w:rsid w:val="00A4066D"/>
    <w:rsid w:val="00A42301"/>
    <w:rsid w:val="00A5447F"/>
    <w:rsid w:val="00A73136"/>
    <w:rsid w:val="00AA4F5C"/>
    <w:rsid w:val="00B07D6C"/>
    <w:rsid w:val="00B3427D"/>
    <w:rsid w:val="00B37A49"/>
    <w:rsid w:val="00B46A5E"/>
    <w:rsid w:val="00BA4EA3"/>
    <w:rsid w:val="00BB0341"/>
    <w:rsid w:val="00BB5CAB"/>
    <w:rsid w:val="00BF39AD"/>
    <w:rsid w:val="00C0567D"/>
    <w:rsid w:val="00C12A37"/>
    <w:rsid w:val="00C34DAD"/>
    <w:rsid w:val="00C7567E"/>
    <w:rsid w:val="00C93730"/>
    <w:rsid w:val="00C94DB9"/>
    <w:rsid w:val="00CE27AA"/>
    <w:rsid w:val="00CF693E"/>
    <w:rsid w:val="00D37AE9"/>
    <w:rsid w:val="00D51042"/>
    <w:rsid w:val="00DA5E9F"/>
    <w:rsid w:val="00E45AB4"/>
    <w:rsid w:val="00E561AE"/>
    <w:rsid w:val="00E63003"/>
    <w:rsid w:val="00EC41F2"/>
    <w:rsid w:val="00F12F19"/>
    <w:rsid w:val="00F4234A"/>
    <w:rsid w:val="00F64EE9"/>
    <w:rsid w:val="00F772C2"/>
    <w:rsid w:val="00FC6B3D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774FAAD"/>
  <w15:chartTrackingRefBased/>
  <w15:docId w15:val="{B5E1E8EB-5DD0-4AF2-BD44-B8619505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4" w:qFormat="1"/>
    <w:lsdException w:name="heading 2" w:uiPriority="4" w:qFormat="1"/>
    <w:lsdException w:name="heading 3" w:uiPriority="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51BF"/>
    <w:pPr>
      <w:spacing w:before="60" w:after="60" w:line="312" w:lineRule="auto"/>
    </w:pPr>
  </w:style>
  <w:style w:type="paragraph" w:styleId="Heading1">
    <w:name w:val="heading 1"/>
    <w:basedOn w:val="Normal"/>
    <w:next w:val="BodyText"/>
    <w:link w:val="Heading1Char"/>
    <w:uiPriority w:val="4"/>
    <w:qFormat/>
    <w:rsid w:val="005851BF"/>
    <w:pPr>
      <w:keepNext/>
      <w:tabs>
        <w:tab w:val="left" w:pos="851"/>
      </w:tabs>
      <w:spacing w:before="240" w:after="240" w:line="288" w:lineRule="auto"/>
      <w:outlineLvl w:val="0"/>
    </w:pPr>
    <w:rPr>
      <w:rFonts w:cs="Arial"/>
      <w:b/>
      <w:bCs/>
      <w:kern w:val="28"/>
      <w:sz w:val="28"/>
      <w:szCs w:val="28"/>
    </w:rPr>
  </w:style>
  <w:style w:type="paragraph" w:styleId="Heading2">
    <w:name w:val="heading 2"/>
    <w:basedOn w:val="Heading1"/>
    <w:next w:val="BodyText"/>
    <w:uiPriority w:val="4"/>
    <w:qFormat/>
    <w:rsid w:val="005851BF"/>
    <w:pPr>
      <w:numPr>
        <w:ilvl w:val="1"/>
      </w:numPr>
      <w:ind w:left="851" w:hanging="851"/>
      <w:outlineLvl w:val="1"/>
    </w:pPr>
    <w:rPr>
      <w:bCs w:val="0"/>
      <w:iCs/>
      <w:kern w:val="24"/>
      <w:sz w:val="24"/>
      <w:szCs w:val="24"/>
    </w:rPr>
  </w:style>
  <w:style w:type="paragraph" w:styleId="Heading3">
    <w:name w:val="heading 3"/>
    <w:basedOn w:val="Heading1"/>
    <w:next w:val="BodyText"/>
    <w:link w:val="Heading3Char"/>
    <w:uiPriority w:val="4"/>
    <w:qFormat/>
    <w:rsid w:val="005851BF"/>
    <w:pPr>
      <w:numPr>
        <w:ilvl w:val="2"/>
      </w:numPr>
      <w:ind w:left="851" w:hanging="851"/>
      <w:outlineLvl w:val="2"/>
    </w:pPr>
    <w:rPr>
      <w:bCs w:val="0"/>
      <w:kern w:val="22"/>
      <w:sz w:val="22"/>
      <w:szCs w:val="22"/>
    </w:rPr>
  </w:style>
  <w:style w:type="paragraph" w:styleId="Heading4">
    <w:name w:val="heading 4"/>
    <w:basedOn w:val="Heading1"/>
    <w:next w:val="Normal"/>
    <w:rsid w:val="00261A22"/>
    <w:pPr>
      <w:numPr>
        <w:ilvl w:val="3"/>
      </w:numPr>
      <w:ind w:left="851" w:hanging="851"/>
      <w:outlineLvl w:val="3"/>
    </w:pPr>
    <w:rPr>
      <w:bCs w:val="0"/>
      <w:kern w:val="20"/>
      <w:sz w:val="20"/>
      <w:szCs w:val="20"/>
    </w:rPr>
  </w:style>
  <w:style w:type="paragraph" w:styleId="Heading5">
    <w:name w:val="heading 5"/>
    <w:basedOn w:val="Normal"/>
    <w:next w:val="Normal"/>
    <w:rsid w:val="00E63003"/>
    <w:pPr>
      <w:numPr>
        <w:ilvl w:val="4"/>
        <w:numId w:val="2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rsid w:val="00E63003"/>
    <w:pPr>
      <w:numPr>
        <w:ilvl w:val="5"/>
        <w:numId w:val="2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rsid w:val="00E63003"/>
    <w:pPr>
      <w:numPr>
        <w:ilvl w:val="6"/>
        <w:numId w:val="2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rsid w:val="00E63003"/>
    <w:pPr>
      <w:numPr>
        <w:ilvl w:val="7"/>
        <w:numId w:val="2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rsid w:val="00E63003"/>
    <w:pPr>
      <w:numPr>
        <w:ilvl w:val="8"/>
        <w:numId w:val="2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1A22"/>
    <w:pPr>
      <w:tabs>
        <w:tab w:val="center" w:pos="4820"/>
        <w:tab w:val="right" w:pos="9639"/>
      </w:tabs>
      <w:spacing w:after="0" w:line="240" w:lineRule="auto"/>
    </w:pPr>
    <w:rPr>
      <w:sz w:val="16"/>
    </w:rPr>
  </w:style>
  <w:style w:type="paragraph" w:styleId="Footer">
    <w:name w:val="footer"/>
    <w:basedOn w:val="Normal"/>
    <w:rsid w:val="00261A22"/>
    <w:pPr>
      <w:tabs>
        <w:tab w:val="center" w:pos="4820"/>
        <w:tab w:val="right" w:pos="9639"/>
      </w:tabs>
      <w:spacing w:after="0" w:line="240" w:lineRule="auto"/>
    </w:pPr>
    <w:rPr>
      <w:sz w:val="16"/>
    </w:rPr>
  </w:style>
  <w:style w:type="character" w:styleId="PageNumber">
    <w:name w:val="page number"/>
    <w:basedOn w:val="DefaultParagraphFont"/>
    <w:semiHidden/>
    <w:rsid w:val="000776B5"/>
  </w:style>
  <w:style w:type="numbering" w:styleId="111111">
    <w:name w:val="Outline List 2"/>
    <w:basedOn w:val="NoList"/>
    <w:semiHidden/>
    <w:rsid w:val="00E63003"/>
    <w:pPr>
      <w:numPr>
        <w:numId w:val="1"/>
      </w:numPr>
    </w:pPr>
  </w:style>
  <w:style w:type="paragraph" w:customStyle="1" w:styleId="Aufzhlung">
    <w:name w:val="Aufzählung"/>
    <w:basedOn w:val="Normal"/>
    <w:uiPriority w:val="2"/>
    <w:qFormat/>
    <w:rsid w:val="005851BF"/>
    <w:pPr>
      <w:numPr>
        <w:numId w:val="31"/>
      </w:numPr>
      <w:contextualSpacing/>
    </w:pPr>
  </w:style>
  <w:style w:type="paragraph" w:styleId="Caption">
    <w:name w:val="caption"/>
    <w:basedOn w:val="BodyText"/>
    <w:next w:val="BodyText"/>
    <w:rsid w:val="000F3112"/>
    <w:pPr>
      <w:spacing w:before="120"/>
    </w:pPr>
    <w:rPr>
      <w:b/>
      <w:bCs/>
      <w:sz w:val="22"/>
    </w:rPr>
  </w:style>
  <w:style w:type="paragraph" w:styleId="BodyText">
    <w:name w:val="Body Text"/>
    <w:basedOn w:val="Normal"/>
    <w:rsid w:val="00261A22"/>
  </w:style>
  <w:style w:type="table" w:customStyle="1" w:styleId="NormaleTabelleEmpa">
    <w:name w:val="Normale Tabelle Empa"/>
    <w:basedOn w:val="TableNormal"/>
    <w:rsid w:val="00261A22"/>
    <w:rPr>
      <w:rFonts w:ascii="Arial" w:hAnsi="Arial"/>
    </w:rPr>
    <w:tblPr/>
  </w:style>
  <w:style w:type="table" w:styleId="TableGrid">
    <w:name w:val="Table Grid"/>
    <w:basedOn w:val="NormaleTabelleEmpa"/>
    <w:rsid w:val="000F3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BodyText"/>
    <w:link w:val="TitleChar"/>
    <w:uiPriority w:val="5"/>
    <w:qFormat/>
    <w:rsid w:val="005851BF"/>
    <w:pPr>
      <w:spacing w:before="240" w:after="240" w:line="288" w:lineRule="auto"/>
      <w:outlineLvl w:val="0"/>
    </w:pPr>
    <w:rPr>
      <w:rFonts w:cs="Arial"/>
      <w:b/>
      <w:bCs/>
      <w:kern w:val="32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4"/>
    <w:rsid w:val="005851BF"/>
    <w:rPr>
      <w:rFonts w:cs="Arial"/>
      <w:b/>
      <w:bCs/>
      <w:kern w:val="28"/>
      <w:sz w:val="28"/>
      <w:szCs w:val="28"/>
    </w:rPr>
  </w:style>
  <w:style w:type="character" w:customStyle="1" w:styleId="Heading3Char">
    <w:name w:val="Heading 3 Char"/>
    <w:basedOn w:val="Heading1Char"/>
    <w:link w:val="Heading3"/>
    <w:uiPriority w:val="4"/>
    <w:rsid w:val="005851BF"/>
    <w:rPr>
      <w:rFonts w:cs="Arial"/>
      <w:b/>
      <w:bCs w:val="0"/>
      <w:kern w:val="22"/>
      <w:sz w:val="22"/>
      <w:szCs w:val="22"/>
    </w:rPr>
  </w:style>
  <w:style w:type="paragraph" w:styleId="TableofFigures">
    <w:name w:val="table of figures"/>
    <w:basedOn w:val="Normal"/>
    <w:next w:val="Normal"/>
    <w:semiHidden/>
    <w:rsid w:val="00261A22"/>
  </w:style>
  <w:style w:type="paragraph" w:styleId="TOC1">
    <w:name w:val="toc 1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b/>
      <w:noProof/>
    </w:rPr>
  </w:style>
  <w:style w:type="paragraph" w:styleId="TOC2">
    <w:name w:val="toc 2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noProof/>
    </w:rPr>
  </w:style>
  <w:style w:type="paragraph" w:styleId="TOC3">
    <w:name w:val="toc 3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noProof/>
    </w:rPr>
  </w:style>
  <w:style w:type="character" w:styleId="Hyperlink">
    <w:name w:val="Hyperlink"/>
    <w:basedOn w:val="DefaultParagraphFont"/>
    <w:rsid w:val="00E561AE"/>
    <w:rPr>
      <w:color w:val="0000FF"/>
      <w:u w:val="single"/>
    </w:rPr>
  </w:style>
  <w:style w:type="numbering" w:styleId="1ai">
    <w:name w:val="Outline List 1"/>
    <w:basedOn w:val="NoList"/>
    <w:semiHidden/>
    <w:rsid w:val="00B37A49"/>
    <w:pPr>
      <w:numPr>
        <w:numId w:val="28"/>
      </w:numPr>
    </w:pPr>
  </w:style>
  <w:style w:type="paragraph" w:styleId="Salutation">
    <w:name w:val="Salutation"/>
    <w:basedOn w:val="Normal"/>
    <w:next w:val="Normal"/>
    <w:semiHidden/>
    <w:rsid w:val="00B37A49"/>
  </w:style>
  <w:style w:type="numbering" w:styleId="ArticleSection">
    <w:name w:val="Outline List 3"/>
    <w:basedOn w:val="NoList"/>
    <w:semiHidden/>
    <w:rsid w:val="00B37A49"/>
    <w:pPr>
      <w:numPr>
        <w:numId w:val="29"/>
      </w:numPr>
    </w:pPr>
  </w:style>
  <w:style w:type="paragraph" w:styleId="BalloonText">
    <w:name w:val="Balloon Text"/>
    <w:basedOn w:val="Normal"/>
    <w:link w:val="BalloonTextChar"/>
    <w:rsid w:val="00D37AE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AE9"/>
    <w:rPr>
      <w:rFonts w:ascii="Tahoma" w:hAnsi="Tahoma" w:cs="Tahoma"/>
      <w:sz w:val="16"/>
      <w:szCs w:val="16"/>
      <w:lang w:val="de-CH" w:eastAsia="de-CH"/>
    </w:rPr>
  </w:style>
  <w:style w:type="character" w:customStyle="1" w:styleId="TitleChar">
    <w:name w:val="Title Char"/>
    <w:basedOn w:val="DefaultParagraphFont"/>
    <w:link w:val="Title"/>
    <w:uiPriority w:val="5"/>
    <w:rsid w:val="005851BF"/>
    <w:rPr>
      <w:rFonts w:cs="Arial"/>
      <w:b/>
      <w:bCs/>
      <w:kern w:val="32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5"/>
    <w:qFormat/>
    <w:rsid w:val="005851BF"/>
    <w:pPr>
      <w:numPr>
        <w:ilvl w:val="1"/>
      </w:numPr>
    </w:pPr>
    <w:rPr>
      <w:rFonts w:eastAsiaTheme="majorEastAsia" w:cstheme="majorBidi"/>
      <w:b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5"/>
    <w:rsid w:val="005851BF"/>
    <w:rPr>
      <w:rFonts w:eastAsiaTheme="majorEastAsia" w:cstheme="majorBidi"/>
      <w:b/>
      <w:iCs/>
      <w:sz w:val="24"/>
      <w:szCs w:val="24"/>
    </w:rPr>
  </w:style>
  <w:style w:type="paragraph" w:styleId="NoSpacing">
    <w:name w:val="No Spacing"/>
    <w:uiPriority w:val="1"/>
    <w:qFormat/>
    <w:rsid w:val="005851BF"/>
  </w:style>
  <w:style w:type="paragraph" w:styleId="ListParagraph">
    <w:name w:val="List Paragraph"/>
    <w:basedOn w:val="Normal"/>
    <w:uiPriority w:val="3"/>
    <w:qFormat/>
    <w:rsid w:val="005851BF"/>
    <w:pPr>
      <w:numPr>
        <w:numId w:val="30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rsid w:val="00B46A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A5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B46A5E"/>
    <w:rPr>
      <w:i/>
      <w:iCs/>
      <w:color w:val="47474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46A5E"/>
    <w:pPr>
      <w:pBdr>
        <w:top w:val="single" w:sz="4" w:space="10" w:color="474747" w:themeColor="accent1" w:themeShade="BF"/>
        <w:bottom w:val="single" w:sz="4" w:space="10" w:color="474747" w:themeColor="accent1" w:themeShade="BF"/>
      </w:pBdr>
      <w:spacing w:before="360" w:after="360"/>
      <w:ind w:left="864" w:right="864"/>
      <w:jc w:val="center"/>
    </w:pPr>
    <w:rPr>
      <w:i/>
      <w:iCs/>
      <w:color w:val="47474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A5E"/>
    <w:rPr>
      <w:i/>
      <w:iCs/>
      <w:color w:val="474747" w:themeColor="accent1" w:themeShade="BF"/>
    </w:rPr>
  </w:style>
  <w:style w:type="character" w:styleId="IntenseReference">
    <w:name w:val="Intense Reference"/>
    <w:basedOn w:val="DefaultParagraphFont"/>
    <w:uiPriority w:val="32"/>
    <w:rsid w:val="00B46A5E"/>
    <w:rPr>
      <w:b/>
      <w:bCs/>
      <w:smallCaps/>
      <w:color w:val="474747" w:themeColor="accent1" w:themeShade="BF"/>
      <w:spacing w:val="5"/>
    </w:rPr>
  </w:style>
  <w:style w:type="character" w:customStyle="1" w:styleId="italic">
    <w:name w:val="italic"/>
    <w:basedOn w:val="DefaultParagraphFont"/>
    <w:rsid w:val="0097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mpa_Word">
  <a:themeElements>
    <a:clrScheme name="Empa_Farben">
      <a:dk1>
        <a:sysClr val="windowText" lastClr="000000"/>
      </a:dk1>
      <a:lt1>
        <a:sysClr val="window" lastClr="FFFFFF"/>
      </a:lt1>
      <a:dk2>
        <a:srgbClr val="9F9F9F"/>
      </a:dk2>
      <a:lt2>
        <a:srgbClr val="DFDFDF"/>
      </a:lt2>
      <a:accent1>
        <a:srgbClr val="5F5F5F"/>
      </a:accent1>
      <a:accent2>
        <a:srgbClr val="5C2E00"/>
      </a:accent2>
      <a:accent3>
        <a:srgbClr val="005400"/>
      </a:accent3>
      <a:accent4>
        <a:srgbClr val="003366"/>
      </a:accent4>
      <a:accent5>
        <a:srgbClr val="C00000"/>
      </a:accent5>
      <a:accent6>
        <a:srgbClr val="C0BC00"/>
      </a:accent6>
      <a:hlink>
        <a:srgbClr val="475A8D"/>
      </a:hlink>
      <a:folHlink>
        <a:srgbClr val="C32D2E"/>
      </a:folHlink>
    </a:clrScheme>
    <a:fontScheme name="Empa_Word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Empa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Brugger, Beatrice</dc:creator>
  <cp:keywords/>
  <dc:description/>
  <cp:lastModifiedBy>Brugger, Beatrice</cp:lastModifiedBy>
  <cp:revision>2</cp:revision>
  <cp:lastPrinted>2006-03-09T14:14:00Z</cp:lastPrinted>
  <dcterms:created xsi:type="dcterms:W3CDTF">2026-03-30T12:32:00Z</dcterms:created>
  <dcterms:modified xsi:type="dcterms:W3CDTF">2026-03-30T12:32:00Z</dcterms:modified>
</cp:coreProperties>
</file>