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321B8" w14:textId="421A0BF0" w:rsidR="001A274F" w:rsidRPr="009F2632" w:rsidRDefault="001A274F" w:rsidP="009F2632">
      <w:pPr>
        <w:tabs>
          <w:tab w:val="num" w:pos="0"/>
        </w:tabs>
        <w:ind w:hanging="11"/>
        <w:rPr>
          <w:caps/>
          <w:lang w:val="en-US"/>
        </w:rPr>
      </w:pPr>
      <w:r>
        <w:rPr>
          <w:caps/>
          <w:lang w:val="en-US"/>
        </w:rPr>
        <w:t>A Regulatory-relevant human placental model to identify early endocrine and molecular disruptions</w:t>
      </w:r>
    </w:p>
    <w:p w14:paraId="75E1BC91" w14:textId="77777777" w:rsidR="009F2632" w:rsidRPr="009F2632" w:rsidRDefault="009F2632" w:rsidP="009F2632">
      <w:pPr>
        <w:tabs>
          <w:tab w:val="num" w:pos="0"/>
        </w:tabs>
        <w:ind w:hanging="11"/>
        <w:rPr>
          <w:lang w:val="en-US"/>
        </w:rPr>
      </w:pPr>
    </w:p>
    <w:p w14:paraId="3EF12FD2" w14:textId="74A02FAB" w:rsidR="00D75AB3" w:rsidRDefault="00D75AB3" w:rsidP="009F2632">
      <w:pPr>
        <w:rPr>
          <w:lang w:val="en-US"/>
        </w:rPr>
      </w:pPr>
      <w:r w:rsidRPr="00D75AB3">
        <w:rPr>
          <w:lang w:val="en-US"/>
        </w:rPr>
        <w:t>B.A. Brugger</w:t>
      </w:r>
      <w:r w:rsidR="00E90AEB" w:rsidRPr="00E90AEB">
        <w:rPr>
          <w:vertAlign w:val="superscript"/>
          <w:lang w:val="en-US"/>
        </w:rPr>
        <w:t>1</w:t>
      </w:r>
      <w:r w:rsidRPr="00D75AB3">
        <w:rPr>
          <w:lang w:val="en-US"/>
        </w:rPr>
        <w:t>, C. B</w:t>
      </w:r>
      <w:r>
        <w:rPr>
          <w:lang w:val="en-US"/>
        </w:rPr>
        <w:t>uff</w:t>
      </w:r>
      <w:r w:rsidR="00E90AEB" w:rsidRPr="00E90AEB">
        <w:rPr>
          <w:vertAlign w:val="superscript"/>
          <w:lang w:val="en-US"/>
        </w:rPr>
        <w:t>1</w:t>
      </w:r>
      <w:r>
        <w:rPr>
          <w:lang w:val="en-US"/>
        </w:rPr>
        <w:t xml:space="preserve">, </w:t>
      </w:r>
      <w:r w:rsidR="00E90AEB">
        <w:rPr>
          <w:lang w:val="en-US"/>
        </w:rPr>
        <w:t>J. Mori</w:t>
      </w:r>
      <w:r w:rsidR="00E77862">
        <w:rPr>
          <w:lang w:val="en-US"/>
        </w:rPr>
        <w:t>k</w:t>
      </w:r>
      <w:r w:rsidR="00E90AEB">
        <w:rPr>
          <w:lang w:val="en-US"/>
        </w:rPr>
        <w:t>ka</w:t>
      </w:r>
      <w:r w:rsidR="00E90AEB">
        <w:rPr>
          <w:vertAlign w:val="superscript"/>
          <w:lang w:val="en-US"/>
        </w:rPr>
        <w:t>2</w:t>
      </w:r>
      <w:r w:rsidR="00E90AEB">
        <w:rPr>
          <w:lang w:val="en-US"/>
        </w:rPr>
        <w:t>, L. Campini</w:t>
      </w:r>
      <w:r w:rsidR="00E90AEB">
        <w:rPr>
          <w:vertAlign w:val="superscript"/>
          <w:lang w:val="en-US"/>
        </w:rPr>
        <w:t>2</w:t>
      </w:r>
      <w:r>
        <w:rPr>
          <w:lang w:val="en-US"/>
        </w:rPr>
        <w:t xml:space="preserve">, </w:t>
      </w:r>
      <w:r w:rsidR="006828EF">
        <w:rPr>
          <w:lang w:val="en-US"/>
        </w:rPr>
        <w:t>D. Greco</w:t>
      </w:r>
      <w:r w:rsidR="006828EF">
        <w:rPr>
          <w:vertAlign w:val="superscript"/>
          <w:lang w:val="en-US"/>
        </w:rPr>
        <w:t>2</w:t>
      </w:r>
      <w:r w:rsidR="006828EF">
        <w:rPr>
          <w:lang w:val="en-US"/>
        </w:rPr>
        <w:t xml:space="preserve">, </w:t>
      </w:r>
      <w:r>
        <w:rPr>
          <w:lang w:val="en-US"/>
        </w:rPr>
        <w:t>P. Wick</w:t>
      </w:r>
      <w:r w:rsidR="00E90AEB" w:rsidRPr="00E90AEB">
        <w:rPr>
          <w:vertAlign w:val="superscript"/>
          <w:lang w:val="en-US"/>
        </w:rPr>
        <w:t>1</w:t>
      </w:r>
      <w:r>
        <w:rPr>
          <w:lang w:val="en-US"/>
        </w:rPr>
        <w:t>, T. B</w:t>
      </w:r>
      <w:r w:rsidR="00D91F8C">
        <w:rPr>
          <w:lang w:val="en-US"/>
        </w:rPr>
        <w:t>ue</w:t>
      </w:r>
      <w:r>
        <w:rPr>
          <w:lang w:val="en-US"/>
        </w:rPr>
        <w:t>rki-Thurnherr</w:t>
      </w:r>
      <w:r w:rsidR="00E90AEB" w:rsidRPr="00E90AEB">
        <w:rPr>
          <w:vertAlign w:val="superscript"/>
          <w:lang w:val="en-US"/>
        </w:rPr>
        <w:t>1</w:t>
      </w:r>
    </w:p>
    <w:p w14:paraId="611A0DB5" w14:textId="77777777" w:rsidR="00E90AEB" w:rsidRPr="00D75AB3" w:rsidRDefault="00E90AEB" w:rsidP="00D75AB3">
      <w:pPr>
        <w:tabs>
          <w:tab w:val="num" w:pos="720"/>
        </w:tabs>
        <w:ind w:left="720" w:hanging="360"/>
        <w:rPr>
          <w:lang w:val="en-US"/>
        </w:rPr>
      </w:pPr>
    </w:p>
    <w:p w14:paraId="78E58EC8" w14:textId="0A5E64C6" w:rsidR="00D75AB3" w:rsidRDefault="00E90AEB" w:rsidP="009F2632">
      <w:pPr>
        <w:tabs>
          <w:tab w:val="num" w:pos="360"/>
        </w:tabs>
        <w:rPr>
          <w:lang w:val="en-US"/>
        </w:rPr>
      </w:pPr>
      <w:r w:rsidRPr="00E90AEB">
        <w:rPr>
          <w:vertAlign w:val="superscript"/>
          <w:lang w:val="en-US"/>
        </w:rPr>
        <w:t>1</w:t>
      </w:r>
      <w:r w:rsidR="00D75AB3">
        <w:rPr>
          <w:lang w:val="en-US"/>
        </w:rPr>
        <w:t>Nanomaterials in Health Lab, Empa St. Gallen, Switzerland</w:t>
      </w:r>
    </w:p>
    <w:p w14:paraId="7CFDD666" w14:textId="65AB3E47" w:rsidR="00D75AB3" w:rsidRPr="00D75AB3" w:rsidRDefault="009F2632" w:rsidP="00D75AB3">
      <w:pPr>
        <w:rPr>
          <w:lang w:val="en-US"/>
        </w:rPr>
      </w:pPr>
      <w:r>
        <w:rPr>
          <w:rFonts w:ascii="Arial" w:hAnsi="Arial" w:cs="Arial"/>
          <w:i/>
          <w:vertAlign w:val="superscript"/>
          <w:lang w:val="en-US"/>
        </w:rPr>
        <w:t xml:space="preserve">2 </w:t>
      </w:r>
      <w:r w:rsidRPr="00422ACF">
        <w:rPr>
          <w:lang w:val="en-US"/>
        </w:rPr>
        <w:t>Faculty of Medicine and Health Technology, Tampere University, Finland</w:t>
      </w:r>
    </w:p>
    <w:p w14:paraId="211536CB" w14:textId="77777777" w:rsidR="00E90AEB" w:rsidRDefault="00E90AEB" w:rsidP="00E90AEB">
      <w:pPr>
        <w:rPr>
          <w:lang w:val="en-GB"/>
        </w:rPr>
      </w:pPr>
    </w:p>
    <w:p w14:paraId="4FCD71F2" w14:textId="318B5C77" w:rsidR="009F2632" w:rsidRPr="009F2632" w:rsidRDefault="00401C2B" w:rsidP="00E90AEB">
      <w:pPr>
        <w:rPr>
          <w:b/>
          <w:bCs/>
          <w:lang w:val="en-US"/>
        </w:rPr>
      </w:pPr>
      <w:r>
        <w:rPr>
          <w:b/>
          <w:bCs/>
          <w:lang w:val="en-US"/>
        </w:rPr>
        <w:t>Background</w:t>
      </w:r>
    </w:p>
    <w:p w14:paraId="026D3A56" w14:textId="20256A31" w:rsidR="003163D4" w:rsidRDefault="003163D4" w:rsidP="00E90AEB">
      <w:pPr>
        <w:rPr>
          <w:b/>
          <w:bCs/>
          <w:lang w:val="en-US"/>
        </w:rPr>
      </w:pPr>
      <w:r w:rsidRPr="003163D4">
        <w:rPr>
          <w:lang w:val="en-US"/>
        </w:rPr>
        <w:t xml:space="preserve">The placenta is a multifunctional organ that </w:t>
      </w:r>
      <w:r w:rsidR="00884E98" w:rsidRPr="00932F6C">
        <w:rPr>
          <w:lang w:val="en-US"/>
        </w:rPr>
        <w:t xml:space="preserve">supports fetal development through barrier, </w:t>
      </w:r>
      <w:r w:rsidRPr="003163D4">
        <w:rPr>
          <w:lang w:val="en-US"/>
        </w:rPr>
        <w:t>immune and endocrine functions</w:t>
      </w:r>
      <w:r w:rsidR="00884E98" w:rsidRPr="00932F6C">
        <w:rPr>
          <w:lang w:val="en-US"/>
        </w:rPr>
        <w:t>, and its disruption by drugs or chemicals can lead to adverse pregnancy outcomes.</w:t>
      </w:r>
      <w:r w:rsidR="00884E98">
        <w:rPr>
          <w:lang w:val="en-US"/>
        </w:rPr>
        <w:t xml:space="preserve"> </w:t>
      </w:r>
      <w:r w:rsidR="00661017">
        <w:rPr>
          <w:lang w:val="en-US"/>
        </w:rPr>
        <w:t>W</w:t>
      </w:r>
      <w:r w:rsidRPr="003163D4">
        <w:rPr>
          <w:lang w:val="en-US"/>
        </w:rPr>
        <w:t>e developed a human placental co-culture model that integrates functional, inflammatory, and molecular readouts</w:t>
      </w:r>
      <w:r w:rsidR="00661017">
        <w:rPr>
          <w:lang w:val="en-US"/>
        </w:rPr>
        <w:t xml:space="preserve"> to enable</w:t>
      </w:r>
      <w:r w:rsidR="00F51F86">
        <w:rPr>
          <w:lang w:val="en-US"/>
        </w:rPr>
        <w:t xml:space="preserve"> </w:t>
      </w:r>
      <w:r w:rsidRPr="003163D4">
        <w:rPr>
          <w:lang w:val="en-US"/>
        </w:rPr>
        <w:t>mechanistic evaluation of potential placental toxicants.</w:t>
      </w:r>
      <w:r w:rsidR="00884E98">
        <w:rPr>
          <w:lang w:val="en-US"/>
        </w:rPr>
        <w:t xml:space="preserve"> </w:t>
      </w:r>
      <w:r w:rsidR="00661017" w:rsidRPr="00932F6C">
        <w:rPr>
          <w:lang w:val="en-US"/>
        </w:rPr>
        <w:t>Using this system, we assessed the developmental toxicity of bleomycin, a chemotherapeutic with limited and conflicting developmental toxicity data and low placental transfer.</w:t>
      </w:r>
    </w:p>
    <w:p w14:paraId="73DE267A" w14:textId="7BB7C575" w:rsidR="003163D4" w:rsidRPr="003163D4" w:rsidRDefault="003163D4" w:rsidP="00E90AEB">
      <w:pPr>
        <w:rPr>
          <w:lang w:val="en-US"/>
        </w:rPr>
      </w:pPr>
      <w:r w:rsidRPr="003163D4">
        <w:rPr>
          <w:b/>
          <w:bCs/>
          <w:lang w:val="en-US"/>
        </w:rPr>
        <w:t>Methods</w:t>
      </w:r>
      <w:r w:rsidRPr="003163D4">
        <w:rPr>
          <w:b/>
          <w:bCs/>
          <w:lang w:val="en-US"/>
        </w:rPr>
        <w:br/>
      </w:r>
      <w:r w:rsidR="00F31111">
        <w:rPr>
          <w:lang w:val="en-US"/>
        </w:rPr>
        <w:t>A</w:t>
      </w:r>
      <w:r w:rsidR="00D91F8C">
        <w:rPr>
          <w:lang w:val="en-US"/>
        </w:rPr>
        <w:t xml:space="preserve"> placental co-culture model co</w:t>
      </w:r>
      <w:r w:rsidR="00F31111">
        <w:rPr>
          <w:lang w:val="en-US"/>
        </w:rPr>
        <w:t xml:space="preserve">mprising </w:t>
      </w:r>
      <w:r w:rsidR="00D91F8C">
        <w:rPr>
          <w:lang w:val="en-US"/>
        </w:rPr>
        <w:t>cytotroph</w:t>
      </w:r>
      <w:r w:rsidR="00F51F86">
        <w:rPr>
          <w:lang w:val="en-US"/>
        </w:rPr>
        <w:t>o</w:t>
      </w:r>
      <w:r w:rsidR="00D91F8C">
        <w:rPr>
          <w:lang w:val="en-US"/>
        </w:rPr>
        <w:t>blasts (</w:t>
      </w:r>
      <w:proofErr w:type="spellStart"/>
      <w:r w:rsidR="00D91F8C">
        <w:rPr>
          <w:lang w:val="en-US"/>
        </w:rPr>
        <w:t>BeWo</w:t>
      </w:r>
      <w:proofErr w:type="spellEnd"/>
      <w:r w:rsidR="00D91F8C">
        <w:rPr>
          <w:lang w:val="en-US"/>
        </w:rPr>
        <w:t xml:space="preserve"> b30), </w:t>
      </w:r>
      <w:proofErr w:type="spellStart"/>
      <w:r w:rsidR="00D91F8C">
        <w:rPr>
          <w:lang w:val="en-US"/>
        </w:rPr>
        <w:t>syncytial</w:t>
      </w:r>
      <w:r w:rsidR="00F31111">
        <w:rPr>
          <w:lang w:val="en-US"/>
        </w:rPr>
        <w:t>ized</w:t>
      </w:r>
      <w:proofErr w:type="spellEnd"/>
      <w:r w:rsidR="00D91F8C">
        <w:rPr>
          <w:lang w:val="en-US"/>
        </w:rPr>
        <w:t xml:space="preserve"> trophoblasts (forskolin-</w:t>
      </w:r>
      <w:r w:rsidR="00F31111">
        <w:rPr>
          <w:lang w:val="en-US"/>
        </w:rPr>
        <w:t>treated</w:t>
      </w:r>
      <w:r w:rsidR="00D91F8C">
        <w:rPr>
          <w:lang w:val="en-US"/>
        </w:rPr>
        <w:t xml:space="preserve"> </w:t>
      </w:r>
      <w:proofErr w:type="spellStart"/>
      <w:r w:rsidR="00D91F8C">
        <w:rPr>
          <w:lang w:val="en-US"/>
        </w:rPr>
        <w:t>BeWo</w:t>
      </w:r>
      <w:proofErr w:type="spellEnd"/>
      <w:r w:rsidR="00932F6C">
        <w:rPr>
          <w:lang w:val="en-US"/>
        </w:rPr>
        <w:t xml:space="preserve"> cells</w:t>
      </w:r>
      <w:r w:rsidR="00D91F8C">
        <w:rPr>
          <w:lang w:val="en-US"/>
        </w:rPr>
        <w:t>) and human vascular endothelial cells (HPVECs) on porous insert</w:t>
      </w:r>
      <w:r w:rsidR="00F31111">
        <w:rPr>
          <w:lang w:val="en-US"/>
        </w:rPr>
        <w:t>s</w:t>
      </w:r>
      <w:r w:rsidR="00D91F8C">
        <w:rPr>
          <w:lang w:val="en-US"/>
        </w:rPr>
        <w:t xml:space="preserve"> was established. </w:t>
      </w:r>
      <w:r w:rsidRPr="003163D4">
        <w:rPr>
          <w:lang w:val="en-US"/>
        </w:rPr>
        <w:t>Endocrine and inflammatory functions were measured by ELISA (</w:t>
      </w:r>
      <w:proofErr w:type="spellStart"/>
      <w:r w:rsidRPr="003163D4">
        <w:rPr>
          <w:lang w:val="en-US"/>
        </w:rPr>
        <w:t>hCG</w:t>
      </w:r>
      <w:proofErr w:type="spellEnd"/>
      <w:r w:rsidR="00932F6C">
        <w:rPr>
          <w:lang w:val="en-US"/>
        </w:rPr>
        <w:t xml:space="preserve"> and</w:t>
      </w:r>
      <w:r w:rsidR="00F31111">
        <w:rPr>
          <w:lang w:val="en-US"/>
        </w:rPr>
        <w:t xml:space="preserve"> </w:t>
      </w:r>
      <w:r w:rsidRPr="003163D4">
        <w:rPr>
          <w:lang w:val="en-US"/>
        </w:rPr>
        <w:t>IL-6),</w:t>
      </w:r>
      <w:r w:rsidR="00F31111">
        <w:rPr>
          <w:lang w:val="en-US"/>
        </w:rPr>
        <w:t xml:space="preserve"> and a</w:t>
      </w:r>
      <w:r w:rsidRPr="003163D4">
        <w:rPr>
          <w:lang w:val="en-US"/>
        </w:rPr>
        <w:t xml:space="preserve">cute cytotoxicity </w:t>
      </w:r>
      <w:r w:rsidR="00F31111">
        <w:rPr>
          <w:lang w:val="en-US"/>
        </w:rPr>
        <w:t>by</w:t>
      </w:r>
      <w:r w:rsidRPr="003163D4">
        <w:rPr>
          <w:lang w:val="en-US"/>
        </w:rPr>
        <w:t xml:space="preserve"> MTT</w:t>
      </w:r>
      <w:r w:rsidR="00932F6C">
        <w:rPr>
          <w:lang w:val="en-US"/>
        </w:rPr>
        <w:t xml:space="preserve"> and LDH assay</w:t>
      </w:r>
      <w:r w:rsidR="00F31111">
        <w:rPr>
          <w:lang w:val="en-US"/>
        </w:rPr>
        <w:t>, using</w:t>
      </w:r>
      <w:r w:rsidRPr="003163D4">
        <w:rPr>
          <w:lang w:val="en-US"/>
        </w:rPr>
        <w:t>. IL-1</w:t>
      </w:r>
      <w:r w:rsidRPr="003163D4">
        <w:t>β</w:t>
      </w:r>
      <w:r w:rsidRPr="003163D4">
        <w:rPr>
          <w:lang w:val="en-US"/>
        </w:rPr>
        <w:t xml:space="preserve"> </w:t>
      </w:r>
      <w:r w:rsidR="00F31111">
        <w:rPr>
          <w:lang w:val="en-US"/>
        </w:rPr>
        <w:t xml:space="preserve">and </w:t>
      </w:r>
      <w:proofErr w:type="spellStart"/>
      <w:r w:rsidRPr="003163D4">
        <w:rPr>
          <w:lang w:val="en-US"/>
        </w:rPr>
        <w:t>CdSO</w:t>
      </w:r>
      <w:proofErr w:type="spellEnd"/>
      <w:r w:rsidRPr="003163D4">
        <w:rPr>
          <w:lang w:val="en-US"/>
        </w:rPr>
        <w:t>₄</w:t>
      </w:r>
      <w:r w:rsidR="00F31111">
        <w:rPr>
          <w:lang w:val="en-US"/>
        </w:rPr>
        <w:t xml:space="preserve"> as positive controls</w:t>
      </w:r>
      <w:r w:rsidR="00D91F8C">
        <w:rPr>
          <w:lang w:val="en-US"/>
        </w:rPr>
        <w:t>.</w:t>
      </w:r>
      <w:r w:rsidR="008B7E72" w:rsidRPr="008B7E72">
        <w:rPr>
          <w:lang w:val="en-US"/>
        </w:rPr>
        <w:t xml:space="preserve"> </w:t>
      </w:r>
      <w:r w:rsidR="008B7E72" w:rsidRPr="003163D4">
        <w:rPr>
          <w:lang w:val="en-US"/>
        </w:rPr>
        <w:t>T</w:t>
      </w:r>
      <w:r w:rsidR="008B7E72">
        <w:rPr>
          <w:lang w:val="en-US"/>
        </w:rPr>
        <w:t xml:space="preserve">o </w:t>
      </w:r>
      <w:r w:rsidR="00F31111">
        <w:rPr>
          <w:lang w:val="en-US"/>
        </w:rPr>
        <w:t>investigate</w:t>
      </w:r>
      <w:r w:rsidR="008B7E72">
        <w:rPr>
          <w:lang w:val="en-US"/>
        </w:rPr>
        <w:t xml:space="preserve"> </w:t>
      </w:r>
      <w:r w:rsidR="00F31111">
        <w:rPr>
          <w:lang w:val="en-US"/>
        </w:rPr>
        <w:t xml:space="preserve">bleomycin-induced </w:t>
      </w:r>
      <w:r w:rsidR="008B7E72">
        <w:rPr>
          <w:lang w:val="en-US"/>
        </w:rPr>
        <w:t>toxicity mechanisms, t</w:t>
      </w:r>
      <w:r w:rsidR="008B7E72" w:rsidRPr="003163D4">
        <w:rPr>
          <w:lang w:val="en-US"/>
        </w:rPr>
        <w:t xml:space="preserve">ranscriptomic profiling was performed to identify molecular </w:t>
      </w:r>
      <w:r w:rsidR="00F31111">
        <w:rPr>
          <w:lang w:val="en-US"/>
        </w:rPr>
        <w:t>changes</w:t>
      </w:r>
      <w:r w:rsidR="008B7E72" w:rsidRPr="003163D4">
        <w:rPr>
          <w:lang w:val="en-US"/>
        </w:rPr>
        <w:t xml:space="preserve"> </w:t>
      </w:r>
      <w:r w:rsidR="00F31111">
        <w:rPr>
          <w:lang w:val="en-US"/>
        </w:rPr>
        <w:t>linked</w:t>
      </w:r>
      <w:r w:rsidR="008B7E72" w:rsidRPr="003163D4">
        <w:rPr>
          <w:lang w:val="en-US"/>
        </w:rPr>
        <w:t xml:space="preserve"> to placental stress and endocrine </w:t>
      </w:r>
      <w:r w:rsidR="00FA5CB1">
        <w:rPr>
          <w:lang w:val="en-US"/>
        </w:rPr>
        <w:t>disruption</w:t>
      </w:r>
      <w:r w:rsidR="008B7E72" w:rsidRPr="003163D4">
        <w:rPr>
          <w:lang w:val="en-US"/>
        </w:rPr>
        <w:t>.</w:t>
      </w:r>
    </w:p>
    <w:p w14:paraId="31D0AAC8" w14:textId="5667A27B" w:rsidR="009F2632" w:rsidRDefault="00E90AEB" w:rsidP="009F2632">
      <w:pPr>
        <w:rPr>
          <w:lang w:val="en-US"/>
        </w:rPr>
      </w:pPr>
      <w:r w:rsidRPr="00E90AEB">
        <w:rPr>
          <w:b/>
          <w:bCs/>
          <w:lang w:val="en-US"/>
        </w:rPr>
        <w:t>Results</w:t>
      </w:r>
      <w:r w:rsidRPr="00E90AEB">
        <w:rPr>
          <w:lang w:val="en-US"/>
        </w:rPr>
        <w:br/>
      </w:r>
      <w:r w:rsidR="009F2632" w:rsidRPr="009F2632">
        <w:rPr>
          <w:lang w:val="en-US"/>
        </w:rPr>
        <w:t>The co-culture model exhibited stable baseline endocrine activity. IL-1</w:t>
      </w:r>
      <w:r w:rsidR="009F2632" w:rsidRPr="009F2632">
        <w:t>β</w:t>
      </w:r>
      <w:r w:rsidR="009F2632" w:rsidRPr="009F2632">
        <w:rPr>
          <w:lang w:val="en-US"/>
        </w:rPr>
        <w:t xml:space="preserve"> induced robust IL-6 release, confirming functional inflammatory responsiveness, while </w:t>
      </w:r>
      <w:proofErr w:type="spellStart"/>
      <w:r w:rsidR="009F2632" w:rsidRPr="009F2632">
        <w:rPr>
          <w:lang w:val="en-US"/>
        </w:rPr>
        <w:t>CdSO</w:t>
      </w:r>
      <w:proofErr w:type="spellEnd"/>
      <w:r w:rsidR="009F2632" w:rsidRPr="009F2632">
        <w:rPr>
          <w:lang w:val="en-US"/>
        </w:rPr>
        <w:t xml:space="preserve">₄ reduced cell viability, validating acute toxicity detection. Following 24 h of bleomycin exposure, no mapped AOPs or canonical endocrine-related key events were detected. IL-6 levels remained unchanged, and no acute cytotoxicity was observed. Notably, </w:t>
      </w:r>
      <w:proofErr w:type="spellStart"/>
      <w:r w:rsidR="009F2632" w:rsidRPr="009F2632">
        <w:rPr>
          <w:lang w:val="en-US"/>
        </w:rPr>
        <w:t>hCG</w:t>
      </w:r>
      <w:proofErr w:type="spellEnd"/>
      <w:r w:rsidR="009F2632" w:rsidRPr="009F2632">
        <w:rPr>
          <w:lang w:val="en-US"/>
        </w:rPr>
        <w:t xml:space="preserve"> expression was significantly increased at both the transcriptomic level (CGB3 and CGB5) and the protein level (ELISA), indicating enhanced endocrine activity even in the absence of mapped key events.</w:t>
      </w:r>
    </w:p>
    <w:p w14:paraId="0DBB4938" w14:textId="6A3455B0" w:rsidR="006D3EEB" w:rsidRPr="00932F6C" w:rsidRDefault="00E90AEB" w:rsidP="006D3EEB">
      <w:pPr>
        <w:rPr>
          <w:lang w:val="en-US"/>
        </w:rPr>
      </w:pPr>
      <w:r w:rsidRPr="00E90AEB">
        <w:rPr>
          <w:b/>
          <w:bCs/>
          <w:lang w:val="en-US"/>
        </w:rPr>
        <w:t>Conclusion</w:t>
      </w:r>
      <w:r w:rsidRPr="00E90AEB">
        <w:rPr>
          <w:lang w:val="en-US"/>
        </w:rPr>
        <w:br/>
      </w:r>
      <w:r w:rsidR="006D3EEB" w:rsidRPr="00932F6C">
        <w:rPr>
          <w:lang w:val="en-US"/>
        </w:rPr>
        <w:t>Together, these findings show that our human placental co</w:t>
      </w:r>
      <w:r w:rsidR="006D3EEB" w:rsidRPr="00932F6C">
        <w:rPr>
          <w:lang w:val="en-US"/>
        </w:rPr>
        <w:noBreakHyphen/>
        <w:t xml:space="preserve">culture model detects early functional and molecular perturbations, including </w:t>
      </w:r>
      <w:proofErr w:type="spellStart"/>
      <w:r w:rsidR="006D3EEB" w:rsidRPr="00932F6C">
        <w:rPr>
          <w:lang w:val="en-US"/>
        </w:rPr>
        <w:t>hCG</w:t>
      </w:r>
      <w:proofErr w:type="spellEnd"/>
      <w:r w:rsidR="006D3EEB" w:rsidRPr="00932F6C">
        <w:rPr>
          <w:lang w:val="en-US"/>
        </w:rPr>
        <w:t xml:space="preserve"> induction that can reflect placental stress linked to adverse pregnancy outcomes, while avoiding activation of canonical AOP pathways or acute toxicity. This demonstrates the model’s value as a mechanistic and regulatory</w:t>
      </w:r>
      <w:r w:rsidR="006D3EEB" w:rsidRPr="00932F6C">
        <w:rPr>
          <w:lang w:val="en-US"/>
        </w:rPr>
        <w:noBreakHyphen/>
        <w:t>relevant NAM platform for identifying subtle chemical disruptions of placental function and improving early hazard assessment of potential placental toxicants such as bleomycin.</w:t>
      </w:r>
    </w:p>
    <w:p w14:paraId="5E16951C" w14:textId="77777777" w:rsidR="006E4F97" w:rsidRPr="00D75AB3" w:rsidRDefault="006E4F97" w:rsidP="00F12F19">
      <w:pPr>
        <w:rPr>
          <w:lang w:val="en-US"/>
        </w:rPr>
      </w:pPr>
    </w:p>
    <w:sectPr w:rsidR="006E4F97" w:rsidRPr="00D75AB3" w:rsidSect="00250DEB">
      <w:headerReference w:type="default" r:id="rId8"/>
      <w:pgSz w:w="11906" w:h="16838" w:code="9"/>
      <w:pgMar w:top="567" w:right="964" w:bottom="1134" w:left="130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A90F2" w14:textId="77777777" w:rsidR="00D75AB3" w:rsidRDefault="00D75AB3">
      <w:r>
        <w:separator/>
      </w:r>
    </w:p>
  </w:endnote>
  <w:endnote w:type="continuationSeparator" w:id="0">
    <w:p w14:paraId="42F7C388" w14:textId="77777777" w:rsidR="00D75AB3" w:rsidRDefault="00D7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3905F" w14:textId="77777777" w:rsidR="00D75AB3" w:rsidRDefault="00D75AB3">
      <w:r>
        <w:separator/>
      </w:r>
    </w:p>
  </w:footnote>
  <w:footnote w:type="continuationSeparator" w:id="0">
    <w:p w14:paraId="45626BD4" w14:textId="77777777" w:rsidR="00D75AB3" w:rsidRDefault="00D75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FC236" w14:textId="77777777" w:rsidR="00BA4EA3" w:rsidRPr="00D37AE9" w:rsidRDefault="003C6FB2" w:rsidP="00026289">
    <w:pPr>
      <w:pStyle w:val="Header"/>
      <w:spacing w:after="1320"/>
      <w:rPr>
        <w:rFonts w:cs="Segoe UI"/>
      </w:rPr>
    </w:pPr>
    <w:r>
      <w:rPr>
        <w:rFonts w:cs="Segoe UI"/>
        <w:noProof/>
        <w:lang w:val="de-CH" w:eastAsia="de-CH"/>
      </w:rPr>
      <w:drawing>
        <wp:anchor distT="0" distB="0" distL="114300" distR="114300" simplePos="0" relativeHeight="251658240" behindDoc="0" locked="0" layoutInCell="1" allowOverlap="1" wp14:anchorId="2382DAA7" wp14:editId="6E0B05D7">
          <wp:simplePos x="0" y="0"/>
          <wp:positionH relativeFrom="column">
            <wp:posOffset>4538743</wp:posOffset>
          </wp:positionH>
          <wp:positionV relativeFrom="paragraph">
            <wp:posOffset>259080</wp:posOffset>
          </wp:positionV>
          <wp:extent cx="1629583" cy="437455"/>
          <wp:effectExtent l="0" t="0" r="0" b="127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s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9583" cy="437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408A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C27A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985A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5E1E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C635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A608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FD817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CC9A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0292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00C5F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432BB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5B15D5"/>
    <w:multiLevelType w:val="multilevel"/>
    <w:tmpl w:val="3B50EC3A"/>
    <w:lvl w:ilvl="0">
      <w:start w:val="1"/>
      <w:numFmt w:val="bullet"/>
      <w:lvlText w:val="●"/>
      <w:lvlJc w:val="left"/>
      <w:pPr>
        <w:tabs>
          <w:tab w:val="num" w:pos="851"/>
        </w:tabs>
        <w:ind w:left="340" w:firstLine="17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340" w:firstLine="511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02B7661"/>
    <w:multiLevelType w:val="hybridMultilevel"/>
    <w:tmpl w:val="81BEC75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A46E2"/>
    <w:multiLevelType w:val="hybridMultilevel"/>
    <w:tmpl w:val="405C5B7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4A6DB1"/>
    <w:multiLevelType w:val="multilevel"/>
    <w:tmpl w:val="F1B2DDAA"/>
    <w:lvl w:ilvl="0">
      <w:start w:val="1"/>
      <w:numFmt w:val="bullet"/>
      <w:pStyle w:val="Aufzhlung"/>
      <w:lvlText w:val="●"/>
      <w:lvlJc w:val="left"/>
      <w:pPr>
        <w:tabs>
          <w:tab w:val="num" w:pos="341"/>
        </w:tabs>
        <w:ind w:left="341" w:hanging="34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681"/>
        </w:tabs>
        <w:ind w:left="681" w:hanging="340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▪"/>
      <w:lvlJc w:val="left"/>
      <w:pPr>
        <w:tabs>
          <w:tab w:val="num" w:pos="1021"/>
        </w:tabs>
        <w:ind w:left="1021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▫"/>
      <w:lvlJc w:val="left"/>
      <w:pPr>
        <w:tabs>
          <w:tab w:val="num" w:pos="1361"/>
        </w:tabs>
        <w:ind w:left="1361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</w:rPr>
    </w:lvl>
  </w:abstractNum>
  <w:abstractNum w:abstractNumId="15" w15:restartNumberingAfterBreak="0">
    <w:nsid w:val="421D14DE"/>
    <w:multiLevelType w:val="multilevel"/>
    <w:tmpl w:val="4AE0E988"/>
    <w:lvl w:ilvl="0">
      <w:start w:val="1"/>
      <w:numFmt w:val="decimal"/>
      <w:lvlText w:val="%1"/>
      <w:lvlJc w:val="left"/>
      <w:pPr>
        <w:tabs>
          <w:tab w:val="num" w:pos="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2AE5D51"/>
    <w:multiLevelType w:val="multilevel"/>
    <w:tmpl w:val="08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7" w15:restartNumberingAfterBreak="0">
    <w:nsid w:val="4A237231"/>
    <w:multiLevelType w:val="multilevel"/>
    <w:tmpl w:val="7DDE131E"/>
    <w:lvl w:ilvl="0">
      <w:start w:val="1"/>
      <w:numFmt w:val="bullet"/>
      <w:lvlText w:val="●"/>
      <w:lvlJc w:val="left"/>
      <w:pPr>
        <w:tabs>
          <w:tab w:val="num" w:pos="851"/>
        </w:tabs>
        <w:ind w:left="851" w:hanging="34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340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D1F5562"/>
    <w:multiLevelType w:val="multilevel"/>
    <w:tmpl w:val="390E1D86"/>
    <w:lvl w:ilvl="0">
      <w:start w:val="1"/>
      <w:numFmt w:val="bullet"/>
      <w:lvlText w:val="●"/>
      <w:lvlJc w:val="left"/>
      <w:pPr>
        <w:tabs>
          <w:tab w:val="num" w:pos="851"/>
        </w:tabs>
        <w:ind w:left="851" w:hanging="34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340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▪"/>
      <w:lvlJc w:val="left"/>
      <w:pPr>
        <w:tabs>
          <w:tab w:val="num" w:pos="1531"/>
        </w:tabs>
        <w:ind w:left="1531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550A38C2"/>
    <w:multiLevelType w:val="multilevel"/>
    <w:tmpl w:val="611619A6"/>
    <w:lvl w:ilvl="0">
      <w:start w:val="1"/>
      <w:numFmt w:val="bullet"/>
      <w:lvlText w:val=""/>
      <w:lvlJc w:val="left"/>
      <w:pPr>
        <w:tabs>
          <w:tab w:val="num" w:pos="919"/>
        </w:tabs>
        <w:ind w:left="91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39"/>
        </w:tabs>
        <w:ind w:left="16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59"/>
        </w:tabs>
        <w:ind w:left="23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79"/>
        </w:tabs>
        <w:ind w:left="30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99"/>
        </w:tabs>
        <w:ind w:left="37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19"/>
        </w:tabs>
        <w:ind w:left="45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39"/>
        </w:tabs>
        <w:ind w:left="52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59"/>
        </w:tabs>
        <w:ind w:left="59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79"/>
        </w:tabs>
        <w:ind w:left="6679" w:hanging="360"/>
      </w:pPr>
      <w:rPr>
        <w:rFonts w:ascii="Wingdings" w:hAnsi="Wingdings" w:hint="default"/>
      </w:rPr>
    </w:lvl>
  </w:abstractNum>
  <w:abstractNum w:abstractNumId="20" w15:restartNumberingAfterBreak="0">
    <w:nsid w:val="593D3471"/>
    <w:multiLevelType w:val="multilevel"/>
    <w:tmpl w:val="2F344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566A7F"/>
    <w:multiLevelType w:val="hybridMultilevel"/>
    <w:tmpl w:val="97D44F48"/>
    <w:lvl w:ilvl="0" w:tplc="3CD87DE0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1D6322"/>
    <w:multiLevelType w:val="multilevel"/>
    <w:tmpl w:val="7DDE131E"/>
    <w:lvl w:ilvl="0">
      <w:start w:val="1"/>
      <w:numFmt w:val="bullet"/>
      <w:lvlText w:val="●"/>
      <w:lvlJc w:val="left"/>
      <w:pPr>
        <w:tabs>
          <w:tab w:val="num" w:pos="851"/>
        </w:tabs>
        <w:ind w:left="851" w:hanging="34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340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6FE168BE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793E07DF"/>
    <w:multiLevelType w:val="multilevel"/>
    <w:tmpl w:val="BE3C9B14"/>
    <w:lvl w:ilvl="0">
      <w:start w:val="1"/>
      <w:numFmt w:val="bullet"/>
      <w:lvlText w:val=""/>
      <w:lvlJc w:val="left"/>
      <w:pPr>
        <w:tabs>
          <w:tab w:val="num" w:pos="851"/>
        </w:tabs>
        <w:ind w:left="340" w:firstLine="17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7C121BDC"/>
    <w:multiLevelType w:val="multilevel"/>
    <w:tmpl w:val="03C86908"/>
    <w:lvl w:ilvl="0">
      <w:start w:val="1"/>
      <w:numFmt w:val="bullet"/>
      <w:lvlText w:val=""/>
      <w:lvlJc w:val="left"/>
      <w:pPr>
        <w:tabs>
          <w:tab w:val="num" w:pos="919"/>
        </w:tabs>
        <w:ind w:left="91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39"/>
        </w:tabs>
        <w:ind w:left="16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59"/>
        </w:tabs>
        <w:ind w:left="23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79"/>
        </w:tabs>
        <w:ind w:left="30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99"/>
        </w:tabs>
        <w:ind w:left="37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19"/>
        </w:tabs>
        <w:ind w:left="45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39"/>
        </w:tabs>
        <w:ind w:left="52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59"/>
        </w:tabs>
        <w:ind w:left="59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79"/>
        </w:tabs>
        <w:ind w:left="6679" w:hanging="360"/>
      </w:pPr>
      <w:rPr>
        <w:rFonts w:ascii="Wingdings" w:hAnsi="Wingdings" w:hint="default"/>
      </w:rPr>
    </w:lvl>
  </w:abstractNum>
  <w:num w:numId="1" w16cid:durableId="1853839241">
    <w:abstractNumId w:val="16"/>
  </w:num>
  <w:num w:numId="2" w16cid:durableId="2063407527">
    <w:abstractNumId w:val="15"/>
  </w:num>
  <w:num w:numId="3" w16cid:durableId="1121847979">
    <w:abstractNumId w:val="9"/>
  </w:num>
  <w:num w:numId="4" w16cid:durableId="2032147403">
    <w:abstractNumId w:val="9"/>
  </w:num>
  <w:num w:numId="5" w16cid:durableId="540559150">
    <w:abstractNumId w:val="15"/>
  </w:num>
  <w:num w:numId="6" w16cid:durableId="2095396574">
    <w:abstractNumId w:val="15"/>
  </w:num>
  <w:num w:numId="7" w16cid:durableId="140654493">
    <w:abstractNumId w:val="15"/>
  </w:num>
  <w:num w:numId="8" w16cid:durableId="1976519370">
    <w:abstractNumId w:val="15"/>
  </w:num>
  <w:num w:numId="9" w16cid:durableId="643898540">
    <w:abstractNumId w:val="13"/>
  </w:num>
  <w:num w:numId="10" w16cid:durableId="2005548014">
    <w:abstractNumId w:val="12"/>
  </w:num>
  <w:num w:numId="11" w16cid:durableId="1076896420">
    <w:abstractNumId w:val="14"/>
  </w:num>
  <w:num w:numId="12" w16cid:durableId="996301950">
    <w:abstractNumId w:val="25"/>
  </w:num>
  <w:num w:numId="13" w16cid:durableId="2046102272">
    <w:abstractNumId w:val="24"/>
  </w:num>
  <w:num w:numId="14" w16cid:durableId="789393692">
    <w:abstractNumId w:val="19"/>
  </w:num>
  <w:num w:numId="15" w16cid:durableId="1993095770">
    <w:abstractNumId w:val="11"/>
  </w:num>
  <w:num w:numId="16" w16cid:durableId="1563641883">
    <w:abstractNumId w:val="22"/>
  </w:num>
  <w:num w:numId="17" w16cid:durableId="1726945508">
    <w:abstractNumId w:val="17"/>
  </w:num>
  <w:num w:numId="18" w16cid:durableId="1031762261">
    <w:abstractNumId w:val="18"/>
  </w:num>
  <w:num w:numId="19" w16cid:durableId="1278760079">
    <w:abstractNumId w:val="7"/>
  </w:num>
  <w:num w:numId="20" w16cid:durableId="1689722649">
    <w:abstractNumId w:val="6"/>
  </w:num>
  <w:num w:numId="21" w16cid:durableId="1807429049">
    <w:abstractNumId w:val="5"/>
  </w:num>
  <w:num w:numId="22" w16cid:durableId="277492823">
    <w:abstractNumId w:val="4"/>
  </w:num>
  <w:num w:numId="23" w16cid:durableId="850142070">
    <w:abstractNumId w:val="8"/>
  </w:num>
  <w:num w:numId="24" w16cid:durableId="369257828">
    <w:abstractNumId w:val="3"/>
  </w:num>
  <w:num w:numId="25" w16cid:durableId="140195632">
    <w:abstractNumId w:val="2"/>
  </w:num>
  <w:num w:numId="26" w16cid:durableId="1913543185">
    <w:abstractNumId w:val="1"/>
  </w:num>
  <w:num w:numId="27" w16cid:durableId="903107426">
    <w:abstractNumId w:val="0"/>
  </w:num>
  <w:num w:numId="28" w16cid:durableId="1221132700">
    <w:abstractNumId w:val="10"/>
  </w:num>
  <w:num w:numId="29" w16cid:durableId="1480227669">
    <w:abstractNumId w:val="23"/>
  </w:num>
  <w:num w:numId="30" w16cid:durableId="1507552773">
    <w:abstractNumId w:val="21"/>
  </w:num>
  <w:num w:numId="31" w16cid:durableId="1081683727">
    <w:abstractNumId w:val="14"/>
  </w:num>
  <w:num w:numId="32" w16cid:durableId="9984603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0" w:nlCheck="1" w:checkStyle="0"/>
  <w:proofState w:spelling="clean" w:grammar="clean"/>
  <w:stylePaneFormatFilter w:val="2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0" w:top3HeadingStyles="1" w:visibleStyles="0" w:alternateStyleNames="0"/>
  <w:defaultTabStop w:val="709"/>
  <w:autoHyphenation/>
  <w:hyphenationZone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AB3"/>
    <w:rsid w:val="00004E5E"/>
    <w:rsid w:val="000209B5"/>
    <w:rsid w:val="00026289"/>
    <w:rsid w:val="000776B5"/>
    <w:rsid w:val="000F3112"/>
    <w:rsid w:val="00153B5F"/>
    <w:rsid w:val="001570DB"/>
    <w:rsid w:val="00177EF6"/>
    <w:rsid w:val="001A274F"/>
    <w:rsid w:val="0022125E"/>
    <w:rsid w:val="00240CC0"/>
    <w:rsid w:val="00240E6E"/>
    <w:rsid w:val="00250DEB"/>
    <w:rsid w:val="00261A22"/>
    <w:rsid w:val="002650D7"/>
    <w:rsid w:val="00281CBB"/>
    <w:rsid w:val="003163D4"/>
    <w:rsid w:val="00320D09"/>
    <w:rsid w:val="00330FB1"/>
    <w:rsid w:val="003353DB"/>
    <w:rsid w:val="003514BA"/>
    <w:rsid w:val="003766DF"/>
    <w:rsid w:val="0038074E"/>
    <w:rsid w:val="00384D19"/>
    <w:rsid w:val="003C6FB2"/>
    <w:rsid w:val="00401C2B"/>
    <w:rsid w:val="00441933"/>
    <w:rsid w:val="00494FC6"/>
    <w:rsid w:val="004E4836"/>
    <w:rsid w:val="0054464E"/>
    <w:rsid w:val="00555D8F"/>
    <w:rsid w:val="00561CAA"/>
    <w:rsid w:val="0056373D"/>
    <w:rsid w:val="00583831"/>
    <w:rsid w:val="005851BF"/>
    <w:rsid w:val="00594CBD"/>
    <w:rsid w:val="00595CBD"/>
    <w:rsid w:val="005D73CE"/>
    <w:rsid w:val="005E4AE7"/>
    <w:rsid w:val="005F295D"/>
    <w:rsid w:val="00600D78"/>
    <w:rsid w:val="00616112"/>
    <w:rsid w:val="006169D4"/>
    <w:rsid w:val="0063200F"/>
    <w:rsid w:val="00654300"/>
    <w:rsid w:val="00661017"/>
    <w:rsid w:val="006828EF"/>
    <w:rsid w:val="00690F13"/>
    <w:rsid w:val="006C15CA"/>
    <w:rsid w:val="006D3EEB"/>
    <w:rsid w:val="006E4F97"/>
    <w:rsid w:val="006F04BB"/>
    <w:rsid w:val="007139B1"/>
    <w:rsid w:val="00715FCB"/>
    <w:rsid w:val="00720B1B"/>
    <w:rsid w:val="00726AEA"/>
    <w:rsid w:val="00766D73"/>
    <w:rsid w:val="007B48DD"/>
    <w:rsid w:val="00884E98"/>
    <w:rsid w:val="008B7E72"/>
    <w:rsid w:val="008C080D"/>
    <w:rsid w:val="008C5E35"/>
    <w:rsid w:val="00931D7B"/>
    <w:rsid w:val="00932F6C"/>
    <w:rsid w:val="00986B2F"/>
    <w:rsid w:val="009C7E9A"/>
    <w:rsid w:val="009F2632"/>
    <w:rsid w:val="00A22E34"/>
    <w:rsid w:val="00A37A88"/>
    <w:rsid w:val="00A4066D"/>
    <w:rsid w:val="00A42301"/>
    <w:rsid w:val="00A5447F"/>
    <w:rsid w:val="00A73136"/>
    <w:rsid w:val="00B37A49"/>
    <w:rsid w:val="00BA4EA3"/>
    <w:rsid w:val="00BB0341"/>
    <w:rsid w:val="00BB2199"/>
    <w:rsid w:val="00BB5CAB"/>
    <w:rsid w:val="00C0567D"/>
    <w:rsid w:val="00C7567E"/>
    <w:rsid w:val="00C94DB9"/>
    <w:rsid w:val="00CA6D97"/>
    <w:rsid w:val="00CE27AA"/>
    <w:rsid w:val="00CF693E"/>
    <w:rsid w:val="00D37AE9"/>
    <w:rsid w:val="00D75AB3"/>
    <w:rsid w:val="00D804FB"/>
    <w:rsid w:val="00D8413F"/>
    <w:rsid w:val="00D91F8C"/>
    <w:rsid w:val="00E45AB4"/>
    <w:rsid w:val="00E561AE"/>
    <w:rsid w:val="00E63003"/>
    <w:rsid w:val="00E77862"/>
    <w:rsid w:val="00E90AEB"/>
    <w:rsid w:val="00EC41F2"/>
    <w:rsid w:val="00F12F19"/>
    <w:rsid w:val="00F31111"/>
    <w:rsid w:val="00F4234A"/>
    <w:rsid w:val="00F51F86"/>
    <w:rsid w:val="00F63854"/>
    <w:rsid w:val="00F64EE9"/>
    <w:rsid w:val="00F772C2"/>
    <w:rsid w:val="00FA5CB1"/>
    <w:rsid w:val="00FC6B3D"/>
    <w:rsid w:val="00FE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5B2277E"/>
  <w15:chartTrackingRefBased/>
  <w15:docId w15:val="{30C63BC8-00D4-46A8-8D04-8A8C8EC9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4" w:qFormat="1"/>
    <w:lsdException w:name="heading 2" w:uiPriority="4" w:qFormat="1"/>
    <w:lsdException w:name="heading 3" w:uiPriority="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51BF"/>
    <w:pPr>
      <w:spacing w:before="60" w:after="60" w:line="312" w:lineRule="auto"/>
    </w:pPr>
  </w:style>
  <w:style w:type="paragraph" w:styleId="Heading1">
    <w:name w:val="heading 1"/>
    <w:basedOn w:val="Normal"/>
    <w:next w:val="BodyText"/>
    <w:link w:val="Heading1Char"/>
    <w:uiPriority w:val="4"/>
    <w:qFormat/>
    <w:rsid w:val="005851BF"/>
    <w:pPr>
      <w:keepNext/>
      <w:tabs>
        <w:tab w:val="left" w:pos="851"/>
      </w:tabs>
      <w:spacing w:before="240" w:after="240" w:line="288" w:lineRule="auto"/>
      <w:outlineLvl w:val="0"/>
    </w:pPr>
    <w:rPr>
      <w:rFonts w:cs="Arial"/>
      <w:b/>
      <w:bCs/>
      <w:kern w:val="28"/>
      <w:sz w:val="28"/>
      <w:szCs w:val="28"/>
    </w:rPr>
  </w:style>
  <w:style w:type="paragraph" w:styleId="Heading2">
    <w:name w:val="heading 2"/>
    <w:basedOn w:val="Heading1"/>
    <w:next w:val="BodyText"/>
    <w:uiPriority w:val="4"/>
    <w:qFormat/>
    <w:rsid w:val="005851BF"/>
    <w:pPr>
      <w:numPr>
        <w:ilvl w:val="1"/>
      </w:numPr>
      <w:ind w:left="851" w:hanging="851"/>
      <w:outlineLvl w:val="1"/>
    </w:pPr>
    <w:rPr>
      <w:bCs w:val="0"/>
      <w:iCs/>
      <w:kern w:val="24"/>
      <w:sz w:val="24"/>
      <w:szCs w:val="24"/>
    </w:rPr>
  </w:style>
  <w:style w:type="paragraph" w:styleId="Heading3">
    <w:name w:val="heading 3"/>
    <w:basedOn w:val="Heading1"/>
    <w:next w:val="BodyText"/>
    <w:link w:val="Heading3Char"/>
    <w:uiPriority w:val="4"/>
    <w:qFormat/>
    <w:rsid w:val="005851BF"/>
    <w:pPr>
      <w:numPr>
        <w:ilvl w:val="2"/>
      </w:numPr>
      <w:ind w:left="851" w:hanging="851"/>
      <w:outlineLvl w:val="2"/>
    </w:pPr>
    <w:rPr>
      <w:bCs w:val="0"/>
      <w:kern w:val="22"/>
      <w:sz w:val="22"/>
      <w:szCs w:val="22"/>
    </w:rPr>
  </w:style>
  <w:style w:type="paragraph" w:styleId="Heading4">
    <w:name w:val="heading 4"/>
    <w:basedOn w:val="Heading1"/>
    <w:next w:val="Normal"/>
    <w:rsid w:val="00261A22"/>
    <w:pPr>
      <w:numPr>
        <w:ilvl w:val="3"/>
      </w:numPr>
      <w:ind w:left="851" w:hanging="851"/>
      <w:outlineLvl w:val="3"/>
    </w:pPr>
    <w:rPr>
      <w:bCs w:val="0"/>
      <w:kern w:val="20"/>
      <w:sz w:val="20"/>
      <w:szCs w:val="20"/>
    </w:rPr>
  </w:style>
  <w:style w:type="paragraph" w:styleId="Heading5">
    <w:name w:val="heading 5"/>
    <w:basedOn w:val="Normal"/>
    <w:next w:val="Normal"/>
    <w:rsid w:val="00E63003"/>
    <w:pPr>
      <w:numPr>
        <w:ilvl w:val="4"/>
        <w:numId w:val="2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rsid w:val="00E63003"/>
    <w:pPr>
      <w:numPr>
        <w:ilvl w:val="5"/>
        <w:numId w:val="2"/>
      </w:numPr>
      <w:spacing w:before="24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rsid w:val="00E63003"/>
    <w:pPr>
      <w:numPr>
        <w:ilvl w:val="6"/>
        <w:numId w:val="2"/>
      </w:numPr>
      <w:spacing w:before="24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rsid w:val="00E63003"/>
    <w:pPr>
      <w:numPr>
        <w:ilvl w:val="7"/>
        <w:numId w:val="2"/>
      </w:numPr>
      <w:spacing w:before="24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rsid w:val="00E63003"/>
    <w:pPr>
      <w:numPr>
        <w:ilvl w:val="8"/>
        <w:numId w:val="2"/>
      </w:numPr>
      <w:spacing w:before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61A22"/>
    <w:pPr>
      <w:tabs>
        <w:tab w:val="center" w:pos="4820"/>
        <w:tab w:val="right" w:pos="9639"/>
      </w:tabs>
      <w:spacing w:after="0" w:line="240" w:lineRule="auto"/>
    </w:pPr>
    <w:rPr>
      <w:sz w:val="16"/>
    </w:rPr>
  </w:style>
  <w:style w:type="paragraph" w:styleId="Footer">
    <w:name w:val="footer"/>
    <w:basedOn w:val="Normal"/>
    <w:rsid w:val="00261A22"/>
    <w:pPr>
      <w:tabs>
        <w:tab w:val="center" w:pos="4820"/>
        <w:tab w:val="right" w:pos="9639"/>
      </w:tabs>
      <w:spacing w:after="0" w:line="240" w:lineRule="auto"/>
    </w:pPr>
    <w:rPr>
      <w:sz w:val="16"/>
    </w:rPr>
  </w:style>
  <w:style w:type="character" w:styleId="PageNumber">
    <w:name w:val="page number"/>
    <w:basedOn w:val="DefaultParagraphFont"/>
    <w:semiHidden/>
    <w:rsid w:val="000776B5"/>
  </w:style>
  <w:style w:type="numbering" w:styleId="111111">
    <w:name w:val="Outline List 2"/>
    <w:basedOn w:val="NoList"/>
    <w:semiHidden/>
    <w:rsid w:val="00E63003"/>
    <w:pPr>
      <w:numPr>
        <w:numId w:val="1"/>
      </w:numPr>
    </w:pPr>
  </w:style>
  <w:style w:type="paragraph" w:customStyle="1" w:styleId="Aufzhlung">
    <w:name w:val="Aufzählung"/>
    <w:basedOn w:val="Normal"/>
    <w:uiPriority w:val="2"/>
    <w:qFormat/>
    <w:rsid w:val="005851BF"/>
    <w:pPr>
      <w:numPr>
        <w:numId w:val="31"/>
      </w:numPr>
      <w:contextualSpacing/>
    </w:pPr>
  </w:style>
  <w:style w:type="paragraph" w:styleId="Caption">
    <w:name w:val="caption"/>
    <w:basedOn w:val="BodyText"/>
    <w:next w:val="BodyText"/>
    <w:rsid w:val="000F3112"/>
    <w:pPr>
      <w:spacing w:before="120"/>
    </w:pPr>
    <w:rPr>
      <w:b/>
      <w:bCs/>
      <w:sz w:val="22"/>
    </w:rPr>
  </w:style>
  <w:style w:type="paragraph" w:styleId="BodyText">
    <w:name w:val="Body Text"/>
    <w:basedOn w:val="Normal"/>
    <w:rsid w:val="00261A22"/>
  </w:style>
  <w:style w:type="table" w:customStyle="1" w:styleId="NormaleTabelleEmpa">
    <w:name w:val="Normale Tabelle Empa"/>
    <w:basedOn w:val="TableNormal"/>
    <w:rsid w:val="00261A22"/>
    <w:rPr>
      <w:rFonts w:ascii="Arial" w:hAnsi="Arial"/>
    </w:rPr>
    <w:tblPr/>
  </w:style>
  <w:style w:type="table" w:styleId="TableGrid">
    <w:name w:val="Table Grid"/>
    <w:basedOn w:val="NormaleTabelleEmpa"/>
    <w:rsid w:val="000F31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BodyText"/>
    <w:link w:val="TitleChar"/>
    <w:uiPriority w:val="5"/>
    <w:qFormat/>
    <w:rsid w:val="005851BF"/>
    <w:pPr>
      <w:spacing w:before="240" w:after="240" w:line="288" w:lineRule="auto"/>
      <w:outlineLvl w:val="0"/>
    </w:pPr>
    <w:rPr>
      <w:rFonts w:cs="Arial"/>
      <w:b/>
      <w:bCs/>
      <w:kern w:val="32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4"/>
    <w:rsid w:val="005851BF"/>
    <w:rPr>
      <w:rFonts w:cs="Arial"/>
      <w:b/>
      <w:bCs/>
      <w:kern w:val="28"/>
      <w:sz w:val="28"/>
      <w:szCs w:val="28"/>
    </w:rPr>
  </w:style>
  <w:style w:type="character" w:customStyle="1" w:styleId="Heading3Char">
    <w:name w:val="Heading 3 Char"/>
    <w:basedOn w:val="Heading1Char"/>
    <w:link w:val="Heading3"/>
    <w:uiPriority w:val="4"/>
    <w:rsid w:val="005851BF"/>
    <w:rPr>
      <w:rFonts w:cs="Arial"/>
      <w:b/>
      <w:bCs w:val="0"/>
      <w:kern w:val="22"/>
      <w:sz w:val="22"/>
      <w:szCs w:val="22"/>
    </w:rPr>
  </w:style>
  <w:style w:type="paragraph" w:styleId="TableofFigures">
    <w:name w:val="table of figures"/>
    <w:basedOn w:val="Normal"/>
    <w:next w:val="Normal"/>
    <w:semiHidden/>
    <w:rsid w:val="00261A22"/>
  </w:style>
  <w:style w:type="paragraph" w:styleId="TOC1">
    <w:name w:val="toc 1"/>
    <w:basedOn w:val="Normal"/>
    <w:next w:val="Normal"/>
    <w:autoRedefine/>
    <w:rsid w:val="00E561AE"/>
    <w:pPr>
      <w:tabs>
        <w:tab w:val="left" w:pos="720"/>
        <w:tab w:val="right" w:leader="dot" w:pos="9628"/>
      </w:tabs>
    </w:pPr>
    <w:rPr>
      <w:b/>
      <w:noProof/>
    </w:rPr>
  </w:style>
  <w:style w:type="paragraph" w:styleId="TOC2">
    <w:name w:val="toc 2"/>
    <w:basedOn w:val="Normal"/>
    <w:next w:val="Normal"/>
    <w:autoRedefine/>
    <w:rsid w:val="00E561AE"/>
    <w:pPr>
      <w:tabs>
        <w:tab w:val="left" w:pos="720"/>
        <w:tab w:val="right" w:leader="dot" w:pos="9628"/>
      </w:tabs>
    </w:pPr>
    <w:rPr>
      <w:noProof/>
    </w:rPr>
  </w:style>
  <w:style w:type="paragraph" w:styleId="TOC3">
    <w:name w:val="toc 3"/>
    <w:basedOn w:val="Normal"/>
    <w:next w:val="Normal"/>
    <w:autoRedefine/>
    <w:rsid w:val="00E561AE"/>
    <w:pPr>
      <w:tabs>
        <w:tab w:val="left" w:pos="720"/>
        <w:tab w:val="right" w:leader="dot" w:pos="9628"/>
      </w:tabs>
    </w:pPr>
    <w:rPr>
      <w:noProof/>
    </w:rPr>
  </w:style>
  <w:style w:type="character" w:styleId="Hyperlink">
    <w:name w:val="Hyperlink"/>
    <w:basedOn w:val="DefaultParagraphFont"/>
    <w:rsid w:val="00E561AE"/>
    <w:rPr>
      <w:color w:val="0000FF"/>
      <w:u w:val="single"/>
    </w:rPr>
  </w:style>
  <w:style w:type="numbering" w:styleId="1ai">
    <w:name w:val="Outline List 1"/>
    <w:basedOn w:val="NoList"/>
    <w:semiHidden/>
    <w:rsid w:val="00B37A49"/>
    <w:pPr>
      <w:numPr>
        <w:numId w:val="28"/>
      </w:numPr>
    </w:pPr>
  </w:style>
  <w:style w:type="paragraph" w:styleId="Salutation">
    <w:name w:val="Salutation"/>
    <w:basedOn w:val="Normal"/>
    <w:next w:val="Normal"/>
    <w:semiHidden/>
    <w:rsid w:val="00B37A49"/>
  </w:style>
  <w:style w:type="numbering" w:styleId="ArticleSection">
    <w:name w:val="Outline List 3"/>
    <w:basedOn w:val="NoList"/>
    <w:semiHidden/>
    <w:rsid w:val="00B37A49"/>
    <w:pPr>
      <w:numPr>
        <w:numId w:val="29"/>
      </w:numPr>
    </w:pPr>
  </w:style>
  <w:style w:type="paragraph" w:styleId="BalloonText">
    <w:name w:val="Balloon Text"/>
    <w:basedOn w:val="Normal"/>
    <w:link w:val="BalloonTextChar"/>
    <w:rsid w:val="00D37AE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AE9"/>
    <w:rPr>
      <w:rFonts w:ascii="Tahoma" w:hAnsi="Tahoma" w:cs="Tahoma"/>
      <w:sz w:val="16"/>
      <w:szCs w:val="16"/>
      <w:lang w:val="de-CH" w:eastAsia="de-CH"/>
    </w:rPr>
  </w:style>
  <w:style w:type="character" w:customStyle="1" w:styleId="TitleChar">
    <w:name w:val="Title Char"/>
    <w:basedOn w:val="DefaultParagraphFont"/>
    <w:link w:val="Title"/>
    <w:uiPriority w:val="5"/>
    <w:rsid w:val="005851BF"/>
    <w:rPr>
      <w:rFonts w:cs="Arial"/>
      <w:b/>
      <w:bCs/>
      <w:kern w:val="32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5"/>
    <w:qFormat/>
    <w:rsid w:val="005851BF"/>
    <w:pPr>
      <w:numPr>
        <w:ilvl w:val="1"/>
      </w:numPr>
    </w:pPr>
    <w:rPr>
      <w:rFonts w:eastAsiaTheme="majorEastAsia" w:cstheme="majorBidi"/>
      <w:b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5"/>
    <w:rsid w:val="005851BF"/>
    <w:rPr>
      <w:rFonts w:eastAsiaTheme="majorEastAsia" w:cstheme="majorBidi"/>
      <w:b/>
      <w:iCs/>
      <w:sz w:val="24"/>
      <w:szCs w:val="24"/>
    </w:rPr>
  </w:style>
  <w:style w:type="paragraph" w:styleId="NoSpacing">
    <w:name w:val="No Spacing"/>
    <w:uiPriority w:val="1"/>
    <w:qFormat/>
    <w:rsid w:val="005851BF"/>
  </w:style>
  <w:style w:type="paragraph" w:styleId="ListParagraph">
    <w:name w:val="List Paragraph"/>
    <w:basedOn w:val="Normal"/>
    <w:uiPriority w:val="3"/>
    <w:qFormat/>
    <w:rsid w:val="005851BF"/>
    <w:pPr>
      <w:numPr>
        <w:numId w:val="30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rsid w:val="00D75A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5AB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D75AB3"/>
    <w:rPr>
      <w:i/>
      <w:iCs/>
      <w:color w:val="47474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D75AB3"/>
    <w:pPr>
      <w:pBdr>
        <w:top w:val="single" w:sz="4" w:space="10" w:color="474747" w:themeColor="accent1" w:themeShade="BF"/>
        <w:bottom w:val="single" w:sz="4" w:space="10" w:color="474747" w:themeColor="accent1" w:themeShade="BF"/>
      </w:pBdr>
      <w:spacing w:before="360" w:after="360"/>
      <w:ind w:left="864" w:right="864"/>
      <w:jc w:val="center"/>
    </w:pPr>
    <w:rPr>
      <w:i/>
      <w:iCs/>
      <w:color w:val="47474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AB3"/>
    <w:rPr>
      <w:i/>
      <w:iCs/>
      <w:color w:val="474747" w:themeColor="accent1" w:themeShade="BF"/>
    </w:rPr>
  </w:style>
  <w:style w:type="character" w:styleId="IntenseReference">
    <w:name w:val="Intense Reference"/>
    <w:basedOn w:val="DefaultParagraphFont"/>
    <w:uiPriority w:val="32"/>
    <w:rsid w:val="00D75AB3"/>
    <w:rPr>
      <w:b/>
      <w:bCs/>
      <w:smallCaps/>
      <w:color w:val="474747" w:themeColor="accent1" w:themeShade="BF"/>
      <w:spacing w:val="5"/>
    </w:rPr>
  </w:style>
  <w:style w:type="paragraph" w:styleId="Revision">
    <w:name w:val="Revision"/>
    <w:hidden/>
    <w:uiPriority w:val="99"/>
    <w:semiHidden/>
    <w:rsid w:val="00BB2199"/>
  </w:style>
  <w:style w:type="character" w:styleId="CommentReference">
    <w:name w:val="annotation reference"/>
    <w:basedOn w:val="DefaultParagraphFont"/>
    <w:semiHidden/>
    <w:unhideWhenUsed/>
    <w:rsid w:val="0065430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5430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65430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543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543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mpa_Word">
  <a:themeElements>
    <a:clrScheme name="Empa_Farben">
      <a:dk1>
        <a:sysClr val="windowText" lastClr="000000"/>
      </a:dk1>
      <a:lt1>
        <a:sysClr val="window" lastClr="FFFFFF"/>
      </a:lt1>
      <a:dk2>
        <a:srgbClr val="9F9F9F"/>
      </a:dk2>
      <a:lt2>
        <a:srgbClr val="DFDFDF"/>
      </a:lt2>
      <a:accent1>
        <a:srgbClr val="5F5F5F"/>
      </a:accent1>
      <a:accent2>
        <a:srgbClr val="5C2E00"/>
      </a:accent2>
      <a:accent3>
        <a:srgbClr val="005400"/>
      </a:accent3>
      <a:accent4>
        <a:srgbClr val="003366"/>
      </a:accent4>
      <a:accent5>
        <a:srgbClr val="C00000"/>
      </a:accent5>
      <a:accent6>
        <a:srgbClr val="C0BC00"/>
      </a:accent6>
      <a:hlink>
        <a:srgbClr val="475A8D"/>
      </a:hlink>
      <a:folHlink>
        <a:srgbClr val="C32D2E"/>
      </a:folHlink>
    </a:clrScheme>
    <a:fontScheme name="Empa_Word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239F0-B94A-4E02-84B2-411B5EFAC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Empa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Brugger, Beatrice</dc:creator>
  <cp:keywords/>
  <dc:description/>
  <cp:lastModifiedBy>Brugger, Beatrice</cp:lastModifiedBy>
  <cp:revision>3</cp:revision>
  <cp:lastPrinted>2006-03-09T14:14:00Z</cp:lastPrinted>
  <dcterms:created xsi:type="dcterms:W3CDTF">2026-02-23T07:11:00Z</dcterms:created>
  <dcterms:modified xsi:type="dcterms:W3CDTF">2026-02-23T14:17:00Z</dcterms:modified>
</cp:coreProperties>
</file>